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2899E" w14:textId="7B04409B" w:rsidR="00E42179" w:rsidRDefault="00E42179">
      <w:pPr>
        <w:pBdr>
          <w:top w:val="nil"/>
          <w:left w:val="nil"/>
          <w:bottom w:val="nil"/>
          <w:right w:val="nil"/>
          <w:between w:val="nil"/>
        </w:pBdr>
        <w:spacing w:after="0" w:line="240" w:lineRule="auto"/>
        <w:jc w:val="center"/>
        <w:rPr>
          <w:rFonts w:ascii="Book Antiqua" w:eastAsia="Book Antiqua" w:hAnsi="Book Antiqua" w:cs="Book Antiqua"/>
        </w:rPr>
      </w:pPr>
      <w:r>
        <w:rPr>
          <w:rFonts w:ascii="Segoe UI" w:hAnsi="Segoe UI" w:cs="Segoe UI"/>
          <w:color w:val="000000"/>
          <w:shd w:val="clear" w:color="auto" w:fill="FFFFFF"/>
        </w:rPr>
        <w:t xml:space="preserve"> </w:t>
      </w:r>
      <w:r>
        <w:rPr>
          <w:rFonts w:ascii="Segoe UI" w:hAnsi="Segoe UI" w:cs="Segoe UI"/>
          <w:color w:val="000000"/>
          <w:shd w:val="clear" w:color="auto" w:fill="FFFFFF"/>
        </w:rPr>
        <w:t xml:space="preserve">“Unbind </w:t>
      </w:r>
      <w:r w:rsidR="00BD3A2A">
        <w:rPr>
          <w:rFonts w:ascii="Segoe UI" w:hAnsi="Segoe UI" w:cs="Segoe UI"/>
          <w:color w:val="000000"/>
          <w:shd w:val="clear" w:color="auto" w:fill="FFFFFF"/>
        </w:rPr>
        <w:t>him and</w:t>
      </w:r>
      <w:r>
        <w:rPr>
          <w:rFonts w:ascii="Segoe UI" w:hAnsi="Segoe UI" w:cs="Segoe UI"/>
          <w:color w:val="000000"/>
          <w:shd w:val="clear" w:color="auto" w:fill="FFFFFF"/>
        </w:rPr>
        <w:t xml:space="preserve"> let him go.”</w:t>
      </w:r>
    </w:p>
    <w:p w14:paraId="00000001" w14:textId="0EBFA967" w:rsidR="00A3273B" w:rsidRDefault="00000000">
      <w:pPr>
        <w:pBdr>
          <w:top w:val="nil"/>
          <w:left w:val="nil"/>
          <w:bottom w:val="nil"/>
          <w:right w:val="nil"/>
          <w:between w:val="nil"/>
        </w:pBdr>
        <w:spacing w:after="0" w:line="240" w:lineRule="auto"/>
        <w:jc w:val="center"/>
        <w:rPr>
          <w:rFonts w:ascii="Book Antiqua" w:eastAsia="Book Antiqua" w:hAnsi="Book Antiqua" w:cs="Book Antiqua"/>
          <w:color w:val="0A0A0A"/>
        </w:rPr>
      </w:pPr>
      <w:r>
        <w:rPr>
          <w:rFonts w:ascii="Book Antiqua" w:eastAsia="Book Antiqua" w:hAnsi="Book Antiqua" w:cs="Book Antiqua"/>
          <w:color w:val="0A0A0A"/>
        </w:rPr>
        <w:t>解開他，讓他走！</w:t>
      </w:r>
    </w:p>
    <w:p w14:paraId="00000002" w14:textId="4BBA068E" w:rsidR="00A3273B" w:rsidRDefault="00000000">
      <w:pPr>
        <w:pBdr>
          <w:top w:val="nil"/>
          <w:left w:val="nil"/>
          <w:bottom w:val="nil"/>
          <w:right w:val="nil"/>
          <w:between w:val="nil"/>
        </w:pBdr>
        <w:spacing w:after="0" w:line="240" w:lineRule="auto"/>
        <w:jc w:val="center"/>
        <w:rPr>
          <w:rFonts w:ascii="Book Antiqua" w:eastAsia="Book Antiqua" w:hAnsi="Book Antiqua" w:cs="Book Antiqua"/>
          <w:color w:val="000000"/>
        </w:rPr>
      </w:pPr>
      <w:r>
        <w:rPr>
          <w:rFonts w:ascii="Book Antiqua" w:eastAsia="Book Antiqua" w:hAnsi="Book Antiqua" w:cs="Book Antiqua"/>
          <w:color w:val="000000"/>
        </w:rPr>
        <w:br/>
        <w:t>John 11:1–45 </w:t>
      </w:r>
      <w:r w:rsidR="00E42179">
        <w:rPr>
          <w:rFonts w:ascii="Book Antiqua" w:eastAsia="Book Antiqua" w:hAnsi="Book Antiqua" w:cs="Book Antiqua"/>
          <w:color w:val="000000"/>
        </w:rPr>
        <w:tab/>
      </w:r>
      <w:r>
        <w:rPr>
          <w:rFonts w:ascii="Book Antiqua" w:eastAsia="Book Antiqua" w:hAnsi="Book Antiqua" w:cs="Book Antiqua"/>
          <w:color w:val="000000"/>
        </w:rPr>
        <w:t>               </w:t>
      </w:r>
      <w:r>
        <w:rPr>
          <w:rFonts w:ascii="Book Antiqua" w:eastAsia="Book Antiqua" w:hAnsi="Book Antiqua" w:cs="Book Antiqua"/>
          <w:color w:val="000000"/>
        </w:rPr>
        <w:tab/>
      </w:r>
      <w:r>
        <w:rPr>
          <w:rFonts w:ascii="Book Antiqua" w:eastAsia="Book Antiqua" w:hAnsi="Book Antiqua" w:cs="Book Antiqua"/>
          <w:color w:val="000000"/>
        </w:rPr>
        <w:tab/>
      </w:r>
      <w:r>
        <w:rPr>
          <w:rFonts w:ascii="Book Antiqua" w:eastAsia="Book Antiqua" w:hAnsi="Book Antiqua" w:cs="Book Antiqua"/>
          <w:color w:val="000000"/>
        </w:rPr>
        <w:tab/>
        <w:t> 3/22/2026</w:t>
      </w:r>
    </w:p>
    <w:p w14:paraId="4F303FE3" w14:textId="1A28EF59" w:rsidR="00E42179" w:rsidRDefault="00E42179" w:rsidP="00E42179">
      <w:pPr>
        <w:pBdr>
          <w:top w:val="nil"/>
          <w:left w:val="nil"/>
          <w:bottom w:val="nil"/>
          <w:right w:val="nil"/>
          <w:between w:val="nil"/>
        </w:pBdr>
        <w:spacing w:after="0" w:line="240" w:lineRule="auto"/>
        <w:jc w:val="right"/>
        <w:rPr>
          <w:rFonts w:ascii="Book Antiqua" w:eastAsia="Book Antiqua" w:hAnsi="Book Antiqua" w:cs="Book Antiqua"/>
        </w:rPr>
      </w:pPr>
      <w:r>
        <w:rPr>
          <w:rFonts w:ascii="Book Antiqua" w:eastAsia="Book Antiqua" w:hAnsi="Book Antiqua" w:cs="Book Antiqua"/>
          <w:color w:val="000000"/>
        </w:rPr>
        <w:t>GRACE ROHRER</w:t>
      </w:r>
    </w:p>
    <w:p w14:paraId="00000003"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05"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At the beginning of John chapter 1 it first says, “Jesus Christ is life and also light” (vv. 4–5). Then, in a series of stories, “Jesus Christ is life and also light” is expressed through life. Last week’s passage, chapter 9, was about Jesus healing a man born blind; this week, in chapter 11, He raises Lazarus from the dead. These accounts are not merely about </w:t>
      </w:r>
      <w:proofErr w:type="gramStart"/>
      <w:r>
        <w:rPr>
          <w:rFonts w:ascii="Book Antiqua" w:eastAsia="Book Antiqua" w:hAnsi="Book Antiqua" w:cs="Book Antiqua"/>
        </w:rPr>
        <w:t>miracles, but</w:t>
      </w:r>
      <w:proofErr w:type="gramEnd"/>
      <w:r>
        <w:rPr>
          <w:rFonts w:ascii="Book Antiqua" w:eastAsia="Book Antiqua" w:hAnsi="Book Antiqua" w:cs="Book Antiqua"/>
        </w:rPr>
        <w:t xml:space="preserve"> progressively help us see who Jesus really is. He is not merely a teacher who heals, nor only a powerful prophet; He is the light of the world and the Lord of life.</w:t>
      </w:r>
    </w:p>
    <w:p w14:paraId="00000006"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08"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When we read these stories, we are not just “looking at others’ stories,” but asking: if I were in them, who would I be? Am I the blind man? Or the bystander? Or Martha or Mary in today’s story? Can we see our own situation in these stories, even see our own faith? Through the Gospel of John, we are invited to know Jesus anew, to know ourselves anew, and to find the way, the truth, and the life in Him.</w:t>
      </w:r>
    </w:p>
    <w:p w14:paraId="00000009" w14:textId="77777777" w:rsidR="00A3273B" w:rsidRDefault="00A3273B">
      <w:pPr>
        <w:pBdr>
          <w:top w:val="nil"/>
          <w:left w:val="nil"/>
          <w:bottom w:val="nil"/>
          <w:right w:val="nil"/>
          <w:between w:val="nil"/>
        </w:pBdr>
        <w:spacing w:after="0" w:line="240" w:lineRule="auto"/>
        <w:rPr>
          <w:rFonts w:ascii="Book Antiqua" w:eastAsia="Book Antiqua" w:hAnsi="Book Antiqua" w:cs="Book Antiqua"/>
          <w:i/>
          <w:iCs/>
        </w:rPr>
      </w:pPr>
    </w:p>
    <w:p w14:paraId="0000000B"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Prayer:</w:t>
      </w:r>
    </w:p>
    <w:p w14:paraId="0000000C"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Lord Jesus, may we, through the story of Lazarus, see the truth You wish to reveal to us. Let us not only see the miracle of bodily </w:t>
      </w:r>
      <w:proofErr w:type="gramStart"/>
      <w:r>
        <w:rPr>
          <w:rFonts w:ascii="Book Antiqua" w:eastAsia="Book Antiqua" w:hAnsi="Book Antiqua" w:cs="Book Antiqua"/>
        </w:rPr>
        <w:t>resurrection, but</w:t>
      </w:r>
      <w:proofErr w:type="gramEnd"/>
      <w:r>
        <w:rPr>
          <w:rFonts w:ascii="Book Antiqua" w:eastAsia="Book Antiqua" w:hAnsi="Book Antiqua" w:cs="Book Antiqua"/>
        </w:rPr>
        <w:t xml:space="preserve"> also see You to whom this miracle points. Open Your word, and let the Holy Spirit work in our hearts, making them like well-prepared soil so that life may grow. Help us understand </w:t>
      </w:r>
      <w:proofErr w:type="gramStart"/>
      <w:r>
        <w:rPr>
          <w:rFonts w:ascii="Book Antiqua" w:eastAsia="Book Antiqua" w:hAnsi="Book Antiqua" w:cs="Book Antiqua"/>
        </w:rPr>
        <w:t>You</w:t>
      </w:r>
      <w:proofErr w:type="gramEnd"/>
      <w:r>
        <w:rPr>
          <w:rFonts w:ascii="Book Antiqua" w:eastAsia="Book Antiqua" w:hAnsi="Book Antiqua" w:cs="Book Antiqua"/>
        </w:rPr>
        <w:t xml:space="preserve"> more </w:t>
      </w:r>
      <w:proofErr w:type="gramStart"/>
      <w:r>
        <w:rPr>
          <w:rFonts w:ascii="Book Antiqua" w:eastAsia="Book Antiqua" w:hAnsi="Book Antiqua" w:cs="Book Antiqua"/>
        </w:rPr>
        <w:t>deeply, and</w:t>
      </w:r>
      <w:proofErr w:type="gramEnd"/>
      <w:r>
        <w:rPr>
          <w:rFonts w:ascii="Book Antiqua" w:eastAsia="Book Antiqua" w:hAnsi="Book Antiqua" w:cs="Book Antiqua"/>
        </w:rPr>
        <w:t xml:space="preserve"> give strength to our lives. Let us not only hear the </w:t>
      </w:r>
      <w:proofErr w:type="gramStart"/>
      <w:r>
        <w:rPr>
          <w:rFonts w:ascii="Book Antiqua" w:eastAsia="Book Antiqua" w:hAnsi="Book Antiqua" w:cs="Book Antiqua"/>
        </w:rPr>
        <w:t>word, but</w:t>
      </w:r>
      <w:proofErr w:type="gramEnd"/>
      <w:r>
        <w:rPr>
          <w:rFonts w:ascii="Book Antiqua" w:eastAsia="Book Antiqua" w:hAnsi="Book Antiqua" w:cs="Book Antiqua"/>
        </w:rPr>
        <w:t xml:space="preserve"> truly live it out. Amen.</w:t>
      </w:r>
    </w:p>
    <w:p w14:paraId="0000000D"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0F"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The four Gospels help us know Jesus and record many stories, including three instances of raising the dead: the daughter of Jairus, the synagogue leader; the son of the widow of Nain; and today’s main figure—Lazarus, the brother of Martha and Mary. However, the story of Lazarus’ resurrection is recorded only in the Gospel of John. This shows that John wrote this passage with a clear theological purpose: he wants us to see not just that “someone was raised,” but “who the Lord is who raises the dead.”</w:t>
      </w:r>
    </w:p>
    <w:p w14:paraId="00000010"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12"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During Jesus’ public ministry, His relationship with the religious leaders in Jerusalem became increasingly tense. John presents the raising of Lazarus as a key turning point. This astonishing miracle not only draws many people to believe in </w:t>
      </w:r>
      <w:proofErr w:type="gramStart"/>
      <w:r>
        <w:rPr>
          <w:rFonts w:ascii="Book Antiqua" w:eastAsia="Book Antiqua" w:hAnsi="Book Antiqua" w:cs="Book Antiqua"/>
        </w:rPr>
        <w:t>Jesus, but</w:t>
      </w:r>
      <w:proofErr w:type="gramEnd"/>
      <w:r>
        <w:rPr>
          <w:rFonts w:ascii="Book Antiqua" w:eastAsia="Book Antiqua" w:hAnsi="Book Antiqua" w:cs="Book Antiqua"/>
        </w:rPr>
        <w:t xml:space="preserve"> also causes those who oppose Him to resolve to eliminate Him. In other words, this is a life-giving miracle that also directly pushes Jesus toward death.</w:t>
      </w:r>
    </w:p>
    <w:p w14:paraId="00000013"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15"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This event brings out a profound irony: Jesus gives Lazarus life again, yet He Himself moves toward death because of it. As the high priest Caiaphas said, “It is better for one man to die for the people than for the whole nation to perish.” From a human </w:t>
      </w:r>
      <w:r>
        <w:rPr>
          <w:rFonts w:ascii="Book Antiqua" w:eastAsia="Book Antiqua" w:hAnsi="Book Antiqua" w:cs="Book Antiqua"/>
        </w:rPr>
        <w:lastRenderedPageBreak/>
        <w:t xml:space="preserve">perspective, this is political calculation; but in God’s plan, it becomes the path of salvation. Many </w:t>
      </w:r>
      <w:proofErr w:type="gramStart"/>
      <w:r>
        <w:rPr>
          <w:rFonts w:ascii="Book Antiqua" w:eastAsia="Book Antiqua" w:hAnsi="Book Antiqua" w:cs="Book Antiqua"/>
        </w:rPr>
        <w:t>times</w:t>
      </w:r>
      <w:proofErr w:type="gramEnd"/>
      <w:r>
        <w:rPr>
          <w:rFonts w:ascii="Book Antiqua" w:eastAsia="Book Antiqua" w:hAnsi="Book Antiqua" w:cs="Book Antiqua"/>
        </w:rPr>
        <w:t xml:space="preserve"> we see only the surface of things, but God’s work behind the scenes far exceeds what we can understand.</w:t>
      </w:r>
    </w:p>
    <w:p w14:paraId="00000016"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18"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Next week is Palm Sunday, and the resurrection of Lazarus is precisely the trigger. The crowds, having seen this miracle, enthusiastically support Jesus, but the religious leaders become even more angry. John sees this event as the fuse that leads Jesus to the </w:t>
      </w:r>
      <w:proofErr w:type="gramStart"/>
      <w:r>
        <w:rPr>
          <w:rFonts w:ascii="Book Antiqua" w:eastAsia="Book Antiqua" w:hAnsi="Book Antiqua" w:cs="Book Antiqua"/>
        </w:rPr>
        <w:t>cross, and</w:t>
      </w:r>
      <w:proofErr w:type="gramEnd"/>
      <w:r>
        <w:rPr>
          <w:rFonts w:ascii="Book Antiqua" w:eastAsia="Book Antiqua" w:hAnsi="Book Antiqua" w:cs="Book Antiqua"/>
        </w:rPr>
        <w:t xml:space="preserve"> also reminds us that sometimes truth brings not only welcome, but also opposition and cost.</w:t>
      </w:r>
    </w:p>
    <w:p w14:paraId="00000019"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1B"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Lazarus’ tomb is in Bethany. Some people who travel to the Holy Land even go to Cyprus to visit the so-called “second tomb of Lazarus.” Church tradition holds that after Jesus’ resurrection and ascension, Lazarus fled to Cyprus and was later established as a bishop by Paul, living there for another thirty years. We can imagine how different the life of someone who had died and was called back by the Lord would be. He might no longer fear death as much, nor cling so tightly to worldly gain and loss. His whole life would likely tell one story: I once died, but the Lord brought me back to life.</w:t>
      </w:r>
    </w:p>
    <w:p w14:paraId="0000001C"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1D" w14:textId="77777777" w:rsidR="00A3273B" w:rsidRDefault="00000000">
      <w:pPr>
        <w:pBdr>
          <w:top w:val="nil"/>
          <w:left w:val="nil"/>
          <w:bottom w:val="nil"/>
          <w:right w:val="nil"/>
          <w:between w:val="nil"/>
        </w:pBdr>
        <w:spacing w:after="0" w:line="240" w:lineRule="auto"/>
        <w:rPr>
          <w:rFonts w:ascii="Book Antiqua" w:eastAsia="Book Antiqua" w:hAnsi="Book Antiqua" w:cs="Book Antiqua"/>
          <w:color w:val="000000"/>
        </w:rPr>
      </w:pPr>
      <w:r>
        <w:rPr>
          <w:rFonts w:ascii="Book Antiqua" w:eastAsia="Book Antiqua" w:hAnsi="Book Antiqua" w:cs="Book Antiqua"/>
          <w:color w:val="000000"/>
        </w:rPr>
        <w:t>這也讓我們反思：如果我們真的相信耶穌是生命的主，我們的生活會不會也應該不一樣？我們是不是仍然被許多恐懼綑綁？還是我們已經活在一種自由裡？</w:t>
      </w:r>
    </w:p>
    <w:p w14:paraId="0000001E"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This also leads us to reflect: if we truly believe that Jesus is the Lord of life, should our lives not also be different? Are we still bound by many fears, or are we already living in a kind of freedom?</w:t>
      </w:r>
    </w:p>
    <w:p w14:paraId="0000001F"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21"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Returning to the text itself, you will find that this story has many puzzling aspects. Lazarus and his two sisters, Martha and Mary, were very close friends of Jesus, like family. When Lazarus became ill, they sent word to Jesus, saying, “Lord, the one you love is sick.” This sentence is simple, but it contains trust, expectation, and a slight urging: Lord, you will come, won’t you?</w:t>
      </w:r>
    </w:p>
    <w:p w14:paraId="00000022"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24"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But Jesus replied, “This sickness will not end in death.” </w:t>
      </w:r>
      <w:proofErr w:type="gramStart"/>
      <w:r>
        <w:rPr>
          <w:rFonts w:ascii="Book Antiqua" w:eastAsia="Book Antiqua" w:hAnsi="Book Antiqua" w:cs="Book Antiqua"/>
        </w:rPr>
        <w:t>At the moment</w:t>
      </w:r>
      <w:proofErr w:type="gramEnd"/>
      <w:r>
        <w:rPr>
          <w:rFonts w:ascii="Book Antiqua" w:eastAsia="Book Antiqua" w:hAnsi="Book Antiqua" w:cs="Book Antiqua"/>
        </w:rPr>
        <w:t xml:space="preserve">, this sounds like a guarantee. Yet what follows is completely different—Jesus does not set out </w:t>
      </w:r>
      <w:proofErr w:type="gramStart"/>
      <w:r>
        <w:rPr>
          <w:rFonts w:ascii="Book Antiqua" w:eastAsia="Book Antiqua" w:hAnsi="Book Antiqua" w:cs="Book Antiqua"/>
        </w:rPr>
        <w:t>immediately, but</w:t>
      </w:r>
      <w:proofErr w:type="gramEnd"/>
      <w:r>
        <w:rPr>
          <w:rFonts w:ascii="Book Antiqua" w:eastAsia="Book Antiqua" w:hAnsi="Book Antiqua" w:cs="Book Antiqua"/>
        </w:rPr>
        <w:t xml:space="preserve"> instead waits two more days. This “delay” is the most distressing part of the whole story.</w:t>
      </w:r>
    </w:p>
    <w:p w14:paraId="00000025"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27"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We may all have experienced such moments: we prayed urgently and sincerely, but nothing changed. The situation may even have gotten worse. We may ask: Lord, where are You? Why didn’t You come earlier?</w:t>
      </w:r>
    </w:p>
    <w:p w14:paraId="00000028"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2A"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When Jesus finally arrived, Martha could not help but say, “Lord, if You had been here, my brother would not have died.” This may also be our own inner voice. It contains both faith and </w:t>
      </w:r>
      <w:proofErr w:type="gramStart"/>
      <w:r>
        <w:rPr>
          <w:rFonts w:ascii="Book Antiqua" w:eastAsia="Book Antiqua" w:hAnsi="Book Antiqua" w:cs="Book Antiqua"/>
        </w:rPr>
        <w:t>disappointment;</w:t>
      </w:r>
      <w:proofErr w:type="gramEnd"/>
      <w:r>
        <w:rPr>
          <w:rFonts w:ascii="Book Antiqua" w:eastAsia="Book Antiqua" w:hAnsi="Book Antiqua" w:cs="Book Antiqua"/>
        </w:rPr>
        <w:t xml:space="preserve"> both belief and complaint.</w:t>
      </w:r>
    </w:p>
    <w:p w14:paraId="0000002B"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2D"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lastRenderedPageBreak/>
        <w:t xml:space="preserve">At this moment, Jesus does not immediately solve the problem, but first says to Martha, “I am the resurrection and the life; whoever believes in me, though he </w:t>
      </w:r>
      <w:proofErr w:type="gramStart"/>
      <w:r>
        <w:rPr>
          <w:rFonts w:ascii="Book Antiqua" w:eastAsia="Book Antiqua" w:hAnsi="Book Antiqua" w:cs="Book Antiqua"/>
        </w:rPr>
        <w:t>die</w:t>
      </w:r>
      <w:proofErr w:type="gramEnd"/>
      <w:r>
        <w:rPr>
          <w:rFonts w:ascii="Book Antiqua" w:eastAsia="Book Antiqua" w:hAnsi="Book Antiqua" w:cs="Book Antiqua"/>
        </w:rPr>
        <w:t>, yet shall he live.” This statement is not only comfort, but also a challenge. Jesus shifts the focus from “whether the situation will change” to “who you believe I am.”</w:t>
      </w:r>
    </w:p>
    <w:p w14:paraId="0000002E"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30"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Faith is often not believing after seeing </w:t>
      </w:r>
      <w:proofErr w:type="gramStart"/>
      <w:r>
        <w:rPr>
          <w:rFonts w:ascii="Book Antiqua" w:eastAsia="Book Antiqua" w:hAnsi="Book Antiqua" w:cs="Book Antiqua"/>
        </w:rPr>
        <w:t>results, but</w:t>
      </w:r>
      <w:proofErr w:type="gramEnd"/>
      <w:r>
        <w:rPr>
          <w:rFonts w:ascii="Book Antiqua" w:eastAsia="Book Antiqua" w:hAnsi="Book Antiqua" w:cs="Book Antiqua"/>
        </w:rPr>
        <w:t xml:space="preserve"> choosing to trust before seeing.</w:t>
      </w:r>
    </w:p>
    <w:p w14:paraId="00000031"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33"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Then Mary comes before Jesus and says the same words. The people around are all weeping, and the text says, “Jesus wept.” This is a very important scene. Jesus does not deny pain, nor does He tell people not to cry. He </w:t>
      </w:r>
      <w:proofErr w:type="gramStart"/>
      <w:r>
        <w:rPr>
          <w:rFonts w:ascii="Book Antiqua" w:eastAsia="Book Antiqua" w:hAnsi="Book Antiqua" w:cs="Book Antiqua"/>
        </w:rPr>
        <w:t>enters into</w:t>
      </w:r>
      <w:proofErr w:type="gramEnd"/>
      <w:r>
        <w:rPr>
          <w:rFonts w:ascii="Book Antiqua" w:eastAsia="Book Antiqua" w:hAnsi="Book Antiqua" w:cs="Book Antiqua"/>
        </w:rPr>
        <w:t xml:space="preserve"> human emotion and weeps with them. This shows us that God does not watch from </w:t>
      </w:r>
      <w:proofErr w:type="gramStart"/>
      <w:r>
        <w:rPr>
          <w:rFonts w:ascii="Book Antiqua" w:eastAsia="Book Antiqua" w:hAnsi="Book Antiqua" w:cs="Book Antiqua"/>
        </w:rPr>
        <w:t>afar, but</w:t>
      </w:r>
      <w:proofErr w:type="gramEnd"/>
      <w:r>
        <w:rPr>
          <w:rFonts w:ascii="Book Antiqua" w:eastAsia="Book Antiqua" w:hAnsi="Book Antiqua" w:cs="Book Antiqua"/>
        </w:rPr>
        <w:t xml:space="preserve"> personally participates in our lives.</w:t>
      </w:r>
    </w:p>
    <w:p w14:paraId="00000034"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36"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Then Jesus comes to the tomb and commands that the stone be removed. Someone reminds Him, “Lord, by now there is a stench,” meaning: there is truly no hope. But Jesus still calls out, “Lazarus, come out!” And the dead man comes out.</w:t>
      </w:r>
    </w:p>
    <w:p w14:paraId="00000037"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39"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Then He says a very crucial sentence: “Unbind </w:t>
      </w:r>
      <w:proofErr w:type="gramStart"/>
      <w:r>
        <w:rPr>
          <w:rFonts w:ascii="Book Antiqua" w:eastAsia="Book Antiqua" w:hAnsi="Book Antiqua" w:cs="Book Antiqua"/>
        </w:rPr>
        <w:t>him, and</w:t>
      </w:r>
      <w:proofErr w:type="gramEnd"/>
      <w:r>
        <w:rPr>
          <w:rFonts w:ascii="Book Antiqua" w:eastAsia="Book Antiqua" w:hAnsi="Book Antiqua" w:cs="Book Antiqua"/>
        </w:rPr>
        <w:t xml:space="preserve"> let him go!”</w:t>
      </w:r>
    </w:p>
    <w:p w14:paraId="0000003A"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3C"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This sentence is worth pausing to consider. Why didn’t Jesus simply make the grave clothes disappear Himself? He certainly had the power to do so. Yet He chose to let those standing nearby do it. This shows that God’s work often invites people to participate.</w:t>
      </w:r>
    </w:p>
    <w:p w14:paraId="0000003D"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3F"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The same is true today. Perhaps we cannot raise the dead, but we can help those who are bound to be set free. We can use love, companionship, and practical actions to “unbind” the lives of others.</w:t>
      </w:r>
    </w:p>
    <w:p w14:paraId="00000040"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42"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But we still ask: why wait? Why three days? Why go through that period that seems completely hopeless? In fact, the Bible is full of waiting. The Israelites were slaves in Egypt for four hundred years before God acted to save them; after the era of the prophets ended, God was silent for four hundred years before Jesus came. God’s timing often feels too slow, but He is never late.</w:t>
      </w:r>
    </w:p>
    <w:p w14:paraId="00000043"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45"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One important lesson of faith is learning to wait. Not passively, but continuing to believe while waiting, holding on to the light in the darkness. The theologian Stanley Hauerwas said that faith trains us to not give up on God even when we lose control. This is a deep discipline, because we all like control, but faith asks us to let go.</w:t>
      </w:r>
    </w:p>
    <w:p w14:paraId="00000046"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48"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Our lives are not in our own hands, but in God’s timing. Learning to let God be God is not easy, but it is an important step toward mature faith. Although there are many things we do not understand, what we are to do next is clear</w:t>
      </w:r>
      <w:proofErr w:type="gramStart"/>
      <w:r>
        <w:rPr>
          <w:rFonts w:ascii="Book Antiqua" w:eastAsia="Book Antiqua" w:hAnsi="Book Antiqua" w:cs="Book Antiqua"/>
        </w:rPr>
        <w:t>—“</w:t>
      </w:r>
      <w:proofErr w:type="gramEnd"/>
      <w:r>
        <w:rPr>
          <w:rFonts w:ascii="Book Antiqua" w:eastAsia="Book Antiqua" w:hAnsi="Book Antiqua" w:cs="Book Antiqua"/>
        </w:rPr>
        <w:t>Unbind him, and let him go!” This is our calling today.</w:t>
      </w:r>
    </w:p>
    <w:p w14:paraId="00000049"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4B"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lastRenderedPageBreak/>
        <w:t>We are placed in this generation not by accident. We have our role. We can become those who help others loosen their bonds. Perhaps it is a word of encouragement, an act of companionship, or a listening ear.</w:t>
      </w:r>
    </w:p>
    <w:p w14:paraId="0000004C"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4E"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What is worth celebrating is not that Lazarus lived a few more decades, because he would die again; what is truly worth rejoicing in is that Jesus declared that death is not the final victor.</w:t>
      </w:r>
    </w:p>
    <w:p w14:paraId="0000004F"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51"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Many people, though alive, are consumed by despair, bitterness, and cynicism, as if already dead. The gospel seeks to release people from this state.</w:t>
      </w:r>
    </w:p>
    <w:p w14:paraId="00000052"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54"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A pastor once said at the end of a funeral, “I want to speak to the next person among us who will die…” Everyone became very quiet, because each knew that person might be themselves. This reminds us that life is limited, and at the same time urges us to seize the present and live a truly meaningful life.</w:t>
      </w:r>
    </w:p>
    <w:p w14:paraId="00000055"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57"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But this does not mean we should live in fear. For in Christ, the end is not despair, but hope.</w:t>
      </w:r>
    </w:p>
    <w:p w14:paraId="00000058"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5A"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Humanity has continually sought to extend life, but life is ultimately limited. Lazarus also died again—this is reality. But Jesus challenges this reality—He declares that He is the resurrection and the life. This declaration changes how we view death </w:t>
      </w:r>
      <w:proofErr w:type="gramStart"/>
      <w:r>
        <w:rPr>
          <w:rFonts w:ascii="Book Antiqua" w:eastAsia="Book Antiqua" w:hAnsi="Book Antiqua" w:cs="Book Antiqua"/>
        </w:rPr>
        <w:t>and also</w:t>
      </w:r>
      <w:proofErr w:type="gramEnd"/>
      <w:r>
        <w:rPr>
          <w:rFonts w:ascii="Book Antiqua" w:eastAsia="Book Antiqua" w:hAnsi="Book Antiqua" w:cs="Book Antiqua"/>
        </w:rPr>
        <w:t xml:space="preserve"> how we view life.</w:t>
      </w:r>
    </w:p>
    <w:p w14:paraId="0000005B"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5D"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Therefore, we are called in this world to continue this sacred mission: to “unbind and let go.” To let more people be freed from bondage and see hope out of despair.</w:t>
      </w:r>
    </w:p>
    <w:p w14:paraId="0000005E"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60" w14:textId="77777777" w:rsidR="00A3273B"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May we boldly </w:t>
      </w:r>
      <w:proofErr w:type="gramStart"/>
      <w:r>
        <w:rPr>
          <w:rFonts w:ascii="Book Antiqua" w:eastAsia="Book Antiqua" w:hAnsi="Book Antiqua" w:cs="Book Antiqua"/>
        </w:rPr>
        <w:t>proclaim:</w:t>
      </w:r>
      <w:proofErr w:type="gramEnd"/>
      <w:r>
        <w:rPr>
          <w:rFonts w:ascii="Book Antiqua" w:eastAsia="Book Antiqua" w:hAnsi="Book Antiqua" w:cs="Book Antiqua"/>
        </w:rPr>
        <w:t xml:space="preserve"> death is not the end; life in Christ has a deeper and farther continuation, and this life begins now.</w:t>
      </w:r>
    </w:p>
    <w:p w14:paraId="00000061" w14:textId="77777777" w:rsidR="00A3273B" w:rsidRDefault="00A3273B">
      <w:pPr>
        <w:pBdr>
          <w:top w:val="nil"/>
          <w:left w:val="nil"/>
          <w:bottom w:val="nil"/>
          <w:right w:val="nil"/>
          <w:between w:val="nil"/>
        </w:pBdr>
        <w:spacing w:after="0" w:line="240" w:lineRule="auto"/>
        <w:rPr>
          <w:rFonts w:ascii="Book Antiqua" w:eastAsia="Book Antiqua" w:hAnsi="Book Antiqua" w:cs="Book Antiqua"/>
        </w:rPr>
      </w:pPr>
    </w:p>
    <w:p w14:paraId="00000063" w14:textId="77777777" w:rsidR="00A3273B" w:rsidRDefault="00000000">
      <w:pPr>
        <w:spacing w:after="0" w:line="240" w:lineRule="auto"/>
        <w:rPr>
          <w:rFonts w:ascii="Book Antiqua" w:eastAsia="Book Antiqua" w:hAnsi="Book Antiqua" w:cs="Book Antiqua"/>
        </w:rPr>
      </w:pPr>
      <w:r>
        <w:rPr>
          <w:rFonts w:ascii="Book Antiqua" w:eastAsia="Book Antiqua" w:hAnsi="Book Antiqua" w:cs="Book Antiqua"/>
        </w:rPr>
        <w:t>Prayer:</w:t>
      </w:r>
    </w:p>
    <w:p w14:paraId="00000064" w14:textId="77777777" w:rsidR="00A3273B" w:rsidRDefault="00000000">
      <w:pPr>
        <w:spacing w:after="0" w:line="240" w:lineRule="auto"/>
        <w:rPr>
          <w:rFonts w:ascii="Book Antiqua" w:eastAsia="Book Antiqua" w:hAnsi="Book Antiqua" w:cs="Book Antiqua"/>
        </w:rPr>
      </w:pPr>
      <w:r>
        <w:rPr>
          <w:rFonts w:ascii="Book Antiqua" w:eastAsia="Book Antiqua" w:hAnsi="Book Antiqua" w:cs="Book Antiqua"/>
        </w:rPr>
        <w:t>Lord, let us see that when we receive You, at that very moment, like Lazarus, we have already entered eternal life. Help us to continue trusting while waiting, to keep looking up in the darkness, and to experience Your power even in weakness. And make us a blessing to others, to unbind those lives that are bound.</w:t>
      </w:r>
    </w:p>
    <w:sectPr w:rsidR="00A3273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3BB5F2F7-0FA9-F042-9F97-BB2B50717B35}"/>
    <w:embedItalic r:id="rId2" w:fontKey="{B3953AA6-6D6D-F04F-842A-122A6CD447D5}"/>
  </w:font>
  <w:font w:name="Play">
    <w:charset w:val="00"/>
    <w:family w:val="auto"/>
    <w:pitch w:val="default"/>
    <w:embedRegular r:id="rId3" w:fontKey="{B05A024C-88F0-9C43-9CBD-D3EFFD2346A8}"/>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4" w:fontKey="{C23ACA5A-DC02-4F4D-A42A-6890C18A6C47}"/>
    <w:embedBold r:id="rId5" w:fontKey="{92AFB53E-C25C-0346-A1CB-5A1EE4EC5B64}"/>
    <w:embedItalic r:id="rId6" w:fontKey="{5B5BB563-572D-154C-A3D9-1BBC903C16D2}"/>
  </w:font>
  <w:font w:name="Aptos Display">
    <w:panose1 w:val="020B0004020202020204"/>
    <w:charset w:val="00"/>
    <w:family w:val="swiss"/>
    <w:pitch w:val="variable"/>
    <w:sig w:usb0="20000287" w:usb1="00000003" w:usb2="00000000" w:usb3="00000000" w:csb0="0000019F" w:csb1="00000000"/>
    <w:embedRegular r:id="rId7" w:fontKey="{633FA6B1-4AF6-D94C-BB03-6A5A6B3A02A0}"/>
  </w:font>
  <w:font w:name="Book Antiqua">
    <w:panose1 w:val="02040602050305030304"/>
    <w:charset w:val="00"/>
    <w:family w:val="roman"/>
    <w:pitch w:val="variable"/>
    <w:sig w:usb0="00000287" w:usb1="00000000" w:usb2="00000000" w:usb3="00000000" w:csb0="0000009F" w:csb1="00000000"/>
    <w:embedRegular r:id="rId8" w:fontKey="{56223AAB-ADEF-9B4B-94B2-EE35DADAE4B4}"/>
    <w:embedItalic r:id="rId9" w:fontKey="{6E95FB12-3F35-604C-B65F-6116345FBC58}"/>
  </w:font>
  <w:font w:name="Segoe UI">
    <w:panose1 w:val="020B0502040204020203"/>
    <w:charset w:val="00"/>
    <w:family w:val="swiss"/>
    <w:pitch w:val="variable"/>
    <w:sig w:usb0="E4002EFF" w:usb1="C000E47F" w:usb2="00000009" w:usb3="00000000" w:csb0="000001FF" w:csb1="00000000"/>
    <w:embedRegular r:id="rId10" w:fontKey="{CE4A7D07-F538-9645-AC2B-7BA65A4A413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73B"/>
    <w:rsid w:val="0057560B"/>
    <w:rsid w:val="00914013"/>
    <w:rsid w:val="00A3273B"/>
    <w:rsid w:val="00BD3A2A"/>
    <w:rsid w:val="00C71965"/>
    <w:rsid w:val="00E421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029E5215"/>
  <w15:docId w15:val="{61D81E75-4524-0A4F-86CB-B80534E9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01D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1D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1D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01D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1D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1D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1D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1D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1D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1D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1D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1D2E"/>
    <w:rPr>
      <w:rFonts w:eastAsiaTheme="majorEastAsia" w:cstheme="majorBidi"/>
      <w:color w:val="272727" w:themeColor="text1" w:themeTint="D8"/>
    </w:rPr>
  </w:style>
  <w:style w:type="character" w:customStyle="1" w:styleId="TitleChar">
    <w:name w:val="Title Char"/>
    <w:basedOn w:val="DefaultParagraphFont"/>
    <w:link w:val="Title"/>
    <w:uiPriority w:val="10"/>
    <w:rsid w:val="00001D2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01D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1D2E"/>
    <w:pPr>
      <w:spacing w:before="160"/>
      <w:jc w:val="center"/>
    </w:pPr>
    <w:rPr>
      <w:i/>
      <w:iCs/>
      <w:color w:val="404040" w:themeColor="text1" w:themeTint="BF"/>
    </w:rPr>
  </w:style>
  <w:style w:type="character" w:customStyle="1" w:styleId="QuoteChar">
    <w:name w:val="Quote Char"/>
    <w:basedOn w:val="DefaultParagraphFont"/>
    <w:link w:val="Quote"/>
    <w:uiPriority w:val="29"/>
    <w:rsid w:val="00001D2E"/>
    <w:rPr>
      <w:i/>
      <w:iCs/>
      <w:color w:val="404040" w:themeColor="text1" w:themeTint="BF"/>
    </w:rPr>
  </w:style>
  <w:style w:type="paragraph" w:styleId="ListParagraph">
    <w:name w:val="List Paragraph"/>
    <w:basedOn w:val="Normal"/>
    <w:uiPriority w:val="34"/>
    <w:qFormat/>
    <w:rsid w:val="00001D2E"/>
    <w:pPr>
      <w:ind w:left="720"/>
      <w:contextualSpacing/>
    </w:pPr>
  </w:style>
  <w:style w:type="character" w:styleId="IntenseEmphasis">
    <w:name w:val="Intense Emphasis"/>
    <w:basedOn w:val="DefaultParagraphFont"/>
    <w:uiPriority w:val="21"/>
    <w:qFormat/>
    <w:rsid w:val="00001D2E"/>
    <w:rPr>
      <w:i/>
      <w:iCs/>
      <w:color w:val="0F4761" w:themeColor="accent1" w:themeShade="BF"/>
    </w:rPr>
  </w:style>
  <w:style w:type="paragraph" w:styleId="IntenseQuote">
    <w:name w:val="Intense Quote"/>
    <w:basedOn w:val="Normal"/>
    <w:next w:val="Normal"/>
    <w:link w:val="IntenseQuoteChar"/>
    <w:uiPriority w:val="30"/>
    <w:qFormat/>
    <w:rsid w:val="00001D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1D2E"/>
    <w:rPr>
      <w:i/>
      <w:iCs/>
      <w:color w:val="0F4761" w:themeColor="accent1" w:themeShade="BF"/>
    </w:rPr>
  </w:style>
  <w:style w:type="character" w:styleId="IntenseReference">
    <w:name w:val="Intense Reference"/>
    <w:basedOn w:val="DefaultParagraphFont"/>
    <w:uiPriority w:val="32"/>
    <w:qFormat/>
    <w:rsid w:val="00001D2E"/>
    <w:rPr>
      <w:b/>
      <w:bCs/>
      <w:smallCaps/>
      <w:color w:val="0F4761" w:themeColor="accent1" w:themeShade="BF"/>
      <w:spacing w:val="5"/>
    </w:rPr>
  </w:style>
  <w:style w:type="paragraph" w:styleId="NormalWeb">
    <w:name w:val="Normal (Web)"/>
    <w:basedOn w:val="Normal"/>
    <w:uiPriority w:val="99"/>
    <w:semiHidden/>
    <w:unhideWhenUsed/>
    <w:rsid w:val="00001D2E"/>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001D2E"/>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sI1W2UGUUswhkfVlS/LGJT3i0g==">CgMxLjA4AHIhMU5Ya0J0U0FSU0IwVmppYzdMdE1LczNsQXhGeG5DcEs1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1435</Words>
  <Characters>8186</Characters>
  <Application>Microsoft Office Word</Application>
  <DocSecurity>0</DocSecurity>
  <Lines>68</Lines>
  <Paragraphs>19</Paragraphs>
  <ScaleCrop>false</ScaleCrop>
  <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3</cp:revision>
  <dcterms:created xsi:type="dcterms:W3CDTF">2026-03-22T11:21:00Z</dcterms:created>
  <dcterms:modified xsi:type="dcterms:W3CDTF">2026-03-22T11:21:00Z</dcterms:modified>
</cp:coreProperties>
</file>