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48FC9A" w14:textId="77777777" w:rsidR="006B127E" w:rsidRPr="00773BF8" w:rsidRDefault="006B127E" w:rsidP="006B127E">
      <w:pPr>
        <w:jc w:val="center"/>
        <w:rPr>
          <w:rFonts w:ascii="Book Antiqua" w:hAnsi="Book Antiqua"/>
          <w:sz w:val="36"/>
          <w:szCs w:val="36"/>
        </w:rPr>
      </w:pPr>
      <w:r w:rsidRPr="00773BF8">
        <w:rPr>
          <w:rFonts w:ascii="Book Antiqua" w:hAnsi="Book Antiqua"/>
          <w:sz w:val="36"/>
          <w:szCs w:val="36"/>
        </w:rPr>
        <w:t>Seeking in the Dark</w:t>
      </w:r>
    </w:p>
    <w:p w14:paraId="40CBD6B9" w14:textId="77777777" w:rsidR="002455C6" w:rsidRPr="00773BF8" w:rsidRDefault="00000000">
      <w:pPr>
        <w:jc w:val="center"/>
        <w:rPr>
          <w:rFonts w:ascii="Book Antiqua" w:eastAsia="PingFang TC" w:hAnsi="Book Antiqua" w:cs="PingFang TC"/>
          <w:sz w:val="36"/>
          <w:szCs w:val="36"/>
        </w:rPr>
      </w:pPr>
      <w:r w:rsidRPr="00773BF8">
        <w:rPr>
          <w:rFonts w:ascii="Book Antiqua" w:eastAsia="PingFang TC" w:hAnsi="Book Antiqua" w:cs="PingFang TC"/>
          <w:sz w:val="36"/>
          <w:szCs w:val="36"/>
        </w:rPr>
        <w:t>在黑暗中看見</w:t>
      </w:r>
    </w:p>
    <w:p w14:paraId="353D71DB" w14:textId="77777777" w:rsidR="00773BF8" w:rsidRDefault="00000000" w:rsidP="00773BF8">
      <w:pPr>
        <w:ind w:right="420"/>
        <w:jc w:val="center"/>
        <w:rPr>
          <w:rFonts w:ascii="Book Antiqua" w:hAnsi="Book Antiqua"/>
          <w:sz w:val="21"/>
          <w:szCs w:val="21"/>
        </w:rPr>
      </w:pPr>
      <w:r w:rsidRPr="00773BF8">
        <w:rPr>
          <w:rFonts w:ascii="Book Antiqua" w:hAnsi="Book Antiqua"/>
          <w:sz w:val="21"/>
          <w:szCs w:val="21"/>
        </w:rPr>
        <w:t>John 9:1-41</w:t>
      </w:r>
      <w:r w:rsidRPr="00773BF8">
        <w:rPr>
          <w:rFonts w:ascii="Book Antiqua" w:hAnsi="Book Antiqua"/>
          <w:sz w:val="21"/>
          <w:szCs w:val="21"/>
        </w:rPr>
        <w:tab/>
      </w:r>
      <w:r w:rsidRPr="00773BF8">
        <w:rPr>
          <w:rFonts w:ascii="Book Antiqua" w:hAnsi="Book Antiqua"/>
          <w:sz w:val="21"/>
          <w:szCs w:val="21"/>
        </w:rPr>
        <w:tab/>
      </w:r>
      <w:r w:rsidRPr="00773BF8">
        <w:rPr>
          <w:rFonts w:ascii="Book Antiqua" w:hAnsi="Book Antiqua"/>
          <w:sz w:val="21"/>
          <w:szCs w:val="21"/>
        </w:rPr>
        <w:tab/>
      </w:r>
      <w:r w:rsidRPr="00773BF8">
        <w:rPr>
          <w:rFonts w:ascii="Book Antiqua" w:hAnsi="Book Antiqua"/>
          <w:sz w:val="21"/>
          <w:szCs w:val="21"/>
        </w:rPr>
        <w:tab/>
      </w:r>
      <w:r w:rsidR="006B127E" w:rsidRPr="00773BF8">
        <w:rPr>
          <w:rFonts w:ascii="Book Antiqua" w:hAnsi="Book Antiqua"/>
          <w:sz w:val="21"/>
          <w:szCs w:val="21"/>
        </w:rPr>
        <w:tab/>
      </w:r>
      <w:r w:rsidR="006B127E" w:rsidRPr="00773BF8">
        <w:rPr>
          <w:rFonts w:ascii="Book Antiqua" w:hAnsi="Book Antiqua"/>
          <w:sz w:val="21"/>
          <w:szCs w:val="21"/>
        </w:rPr>
        <w:tab/>
      </w:r>
      <w:r w:rsidRPr="00773BF8">
        <w:rPr>
          <w:rFonts w:ascii="Book Antiqua" w:hAnsi="Book Antiqua"/>
          <w:sz w:val="21"/>
          <w:szCs w:val="21"/>
        </w:rPr>
        <w:tab/>
      </w:r>
      <w:r w:rsidRPr="00773BF8">
        <w:rPr>
          <w:rFonts w:ascii="Book Antiqua" w:hAnsi="Book Antiqua"/>
          <w:sz w:val="21"/>
          <w:szCs w:val="21"/>
        </w:rPr>
        <w:tab/>
      </w:r>
      <w:r w:rsidRPr="00773BF8">
        <w:rPr>
          <w:rFonts w:ascii="Book Antiqua" w:hAnsi="Book Antiqua"/>
          <w:sz w:val="21"/>
          <w:szCs w:val="21"/>
        </w:rPr>
        <w:tab/>
      </w:r>
      <w:r w:rsidR="006B127E" w:rsidRPr="00773BF8">
        <w:rPr>
          <w:rFonts w:ascii="Book Antiqua" w:hAnsi="Book Antiqua"/>
          <w:sz w:val="21"/>
          <w:szCs w:val="21"/>
        </w:rPr>
        <w:tab/>
      </w:r>
      <w:r w:rsidRPr="00773BF8">
        <w:rPr>
          <w:rFonts w:ascii="Book Antiqua" w:hAnsi="Book Antiqua"/>
          <w:sz w:val="21"/>
          <w:szCs w:val="21"/>
        </w:rPr>
        <w:t>3/15/2026</w:t>
      </w:r>
    </w:p>
    <w:p w14:paraId="0373A462" w14:textId="19E65AFE" w:rsidR="002455C6" w:rsidRPr="00773BF8" w:rsidRDefault="006B127E" w:rsidP="00773BF8">
      <w:pPr>
        <w:ind w:right="420"/>
        <w:jc w:val="right"/>
        <w:rPr>
          <w:rFonts w:ascii="Book Antiqua" w:hAnsi="Book Antiqua"/>
          <w:sz w:val="21"/>
          <w:szCs w:val="21"/>
        </w:rPr>
      </w:pPr>
      <w:r w:rsidRPr="00773BF8">
        <w:rPr>
          <w:rFonts w:ascii="Book Antiqua" w:hAnsi="Book Antiqua"/>
          <w:sz w:val="21"/>
          <w:szCs w:val="21"/>
        </w:rPr>
        <w:t>Grace Rohrer</w:t>
      </w:r>
    </w:p>
    <w:p w14:paraId="3B617404" w14:textId="77777777" w:rsidR="002455C6" w:rsidRPr="00766366" w:rsidRDefault="00000000">
      <w:pPr>
        <w:spacing w:before="280" w:after="280"/>
        <w:rPr>
          <w:rFonts w:ascii="Book Antiqua" w:eastAsia="PingFang TC" w:hAnsi="Book Antiqua" w:cs="PingFang TC" w:hint="eastAsia"/>
          <w:sz w:val="21"/>
          <w:szCs w:val="21"/>
          <w:lang w:val="en-US"/>
        </w:rPr>
      </w:pPr>
      <w:r w:rsidRPr="00773BF8">
        <w:rPr>
          <w:rFonts w:ascii="Book Antiqua" w:eastAsia="PingFang TC" w:hAnsi="Book Antiqua" w:cs="PingFang TC"/>
          <w:sz w:val="21"/>
          <w:szCs w:val="21"/>
        </w:rPr>
        <w:t>When deep-sea divers descend into the depths of the ocean, they often have some intense sensations. This experience can usually be divided into several stages:</w:t>
      </w:r>
    </w:p>
    <w:p w14:paraId="0A913CCE"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When divers first begin to descend, they can still see sunlight shining down from the surface of the sea. The water is filled with light and schools of fish; this region is sometimes called the “school-of-fish zone.” Here the divers still feel relatively at ease, because the surroundings are clearly visible.</w:t>
      </w:r>
    </w:p>
    <w:p w14:paraId="390A0A76"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As the depth increases, sunlight gradually can no longer penetrate the seawater. The divers begin to enter a region that is almost completely dark. Because they cannot see clearly around them, divers instinctively feel danger.</w:t>
      </w:r>
    </w:p>
    <w:p w14:paraId="25E6FC90"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If the divers remain calm and continue descending, after </w:t>
      </w:r>
      <w:proofErr w:type="gramStart"/>
      <w:r w:rsidRPr="00773BF8">
        <w:rPr>
          <w:rFonts w:ascii="Book Antiqua" w:eastAsia="PingFang TC" w:hAnsi="Book Antiqua" w:cs="PingFang TC"/>
          <w:sz w:val="21"/>
          <w:szCs w:val="21"/>
        </w:rPr>
        <w:t>a period of time</w:t>
      </w:r>
      <w:proofErr w:type="gramEnd"/>
      <w:r w:rsidRPr="00773BF8">
        <w:rPr>
          <w:rFonts w:ascii="Book Antiqua" w:eastAsia="PingFang TC" w:hAnsi="Book Antiqua" w:cs="PingFang TC"/>
          <w:sz w:val="21"/>
          <w:szCs w:val="21"/>
        </w:rPr>
        <w:t xml:space="preserve"> their eyes will gradually adapt to the darkness. At this point they may </w:t>
      </w:r>
      <w:proofErr w:type="gramStart"/>
      <w:r w:rsidRPr="00773BF8">
        <w:rPr>
          <w:rFonts w:ascii="Book Antiqua" w:eastAsia="PingFang TC" w:hAnsi="Book Antiqua" w:cs="PingFang TC"/>
          <w:sz w:val="21"/>
          <w:szCs w:val="21"/>
        </w:rPr>
        <w:t>begin to notice</w:t>
      </w:r>
      <w:proofErr w:type="gramEnd"/>
      <w:r w:rsidRPr="00773BF8">
        <w:rPr>
          <w:rFonts w:ascii="Book Antiqua" w:eastAsia="PingFang TC" w:hAnsi="Book Antiqua" w:cs="PingFang TC"/>
          <w:sz w:val="21"/>
          <w:szCs w:val="21"/>
        </w:rPr>
        <w:t xml:space="preserve"> faint light in the sea, glowing marine organisms (bioluminescence), and outlines in the darkness. The darkness that originally caused fear gradually becomes a mysterious and beautiful world.</w:t>
      </w:r>
    </w:p>
    <w:p w14:paraId="606D660E"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After divers adapt to this environment, they feel that their hearts become calm, they have greater confidence in their surroundings, and they discover that the darkness is </w:t>
      </w:r>
      <w:proofErr w:type="gramStart"/>
      <w:r w:rsidRPr="00773BF8">
        <w:rPr>
          <w:rFonts w:ascii="Book Antiqua" w:eastAsia="PingFang TC" w:hAnsi="Book Antiqua" w:cs="PingFang TC"/>
          <w:sz w:val="21"/>
          <w:szCs w:val="21"/>
        </w:rPr>
        <w:t>actually full</w:t>
      </w:r>
      <w:proofErr w:type="gramEnd"/>
      <w:r w:rsidRPr="00773BF8">
        <w:rPr>
          <w:rFonts w:ascii="Book Antiqua" w:eastAsia="PingFang TC" w:hAnsi="Book Antiqua" w:cs="PingFang TC"/>
          <w:sz w:val="21"/>
          <w:szCs w:val="21"/>
        </w:rPr>
        <w:t xml:space="preserve"> of life and light. At this point they begin to “see” in a way different from the world on land.</w:t>
      </w:r>
    </w:p>
    <w:p w14:paraId="3E77D658" w14:textId="77777777" w:rsidR="002455C6" w:rsidRPr="00773BF8" w:rsidRDefault="00000000">
      <w:pPr>
        <w:rPr>
          <w:rFonts w:ascii="Book Antiqua" w:eastAsia="PingFang TC" w:hAnsi="Book Antiqua" w:cs="PingFang TC"/>
          <w:sz w:val="21"/>
          <w:szCs w:val="21"/>
        </w:rPr>
      </w:pPr>
      <w:r w:rsidRPr="00773BF8">
        <w:rPr>
          <w:rFonts w:ascii="Book Antiqua" w:eastAsia="PingFang TC" w:hAnsi="Book Antiqua" w:cs="PingFang TC"/>
          <w:sz w:val="21"/>
          <w:szCs w:val="21"/>
        </w:rPr>
        <w:t>From light → darkness → fear → adaptation → new sight, we use this experience as a metaphor for life or faith: sometimes we must first experience darkness and the unknown before we can slowly see new light.</w:t>
      </w:r>
    </w:p>
    <w:p w14:paraId="7F62897F"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In the Gospel of John, we often see the relationship between “seeing” and “believing.” In chapter 20, for example, when people see the risen Jesus, they believe that everything He said is true.</w:t>
      </w:r>
    </w:p>
    <w:p w14:paraId="1C574DCA" w14:textId="77777777" w:rsidR="002455C6" w:rsidRPr="00773BF8" w:rsidRDefault="00000000">
      <w:pPr>
        <w:numPr>
          <w:ilvl w:val="0"/>
          <w:numId w:val="1"/>
        </w:numPr>
        <w:rPr>
          <w:rFonts w:ascii="Book Antiqua" w:eastAsia="PingFang TC" w:hAnsi="Book Antiqua" w:cs="PingFang TC"/>
          <w:sz w:val="21"/>
          <w:szCs w:val="21"/>
        </w:rPr>
      </w:pPr>
      <w:r w:rsidRPr="00773BF8">
        <w:rPr>
          <w:rFonts w:ascii="Book Antiqua" w:eastAsia="PingFang TC" w:hAnsi="Book Antiqua" w:cs="PingFang TC"/>
          <w:sz w:val="21"/>
          <w:szCs w:val="21"/>
        </w:rPr>
        <w:t>Mary Magdalene saw that the stone of the tomb had been removed (20:1).</w:t>
      </w:r>
    </w:p>
    <w:p w14:paraId="5C4FF2FB" w14:textId="77777777" w:rsidR="002455C6" w:rsidRPr="00773BF8" w:rsidRDefault="00000000">
      <w:pPr>
        <w:numPr>
          <w:ilvl w:val="0"/>
          <w:numId w:val="1"/>
        </w:numPr>
        <w:rPr>
          <w:rFonts w:ascii="Book Antiqua" w:eastAsia="PingFang TC" w:hAnsi="Book Antiqua" w:cs="PingFang TC"/>
          <w:sz w:val="21"/>
          <w:szCs w:val="21"/>
        </w:rPr>
      </w:pPr>
      <w:r w:rsidRPr="00773BF8">
        <w:rPr>
          <w:rFonts w:ascii="Book Antiqua" w:eastAsia="PingFang TC" w:hAnsi="Book Antiqua" w:cs="PingFang TC"/>
          <w:sz w:val="21"/>
          <w:szCs w:val="21"/>
        </w:rPr>
        <w:t>The disciple whom Jesus loved ran to the tomb and saw the burial cloth lying there (20:4–5).</w:t>
      </w:r>
    </w:p>
    <w:p w14:paraId="022974A8" w14:textId="77777777" w:rsidR="002455C6" w:rsidRPr="00773BF8" w:rsidRDefault="00000000">
      <w:pPr>
        <w:numPr>
          <w:ilvl w:val="0"/>
          <w:numId w:val="1"/>
        </w:numPr>
        <w:rPr>
          <w:rFonts w:ascii="Book Antiqua" w:eastAsia="PingFang TC" w:hAnsi="Book Antiqua" w:cs="PingFang TC"/>
          <w:sz w:val="21"/>
          <w:szCs w:val="21"/>
        </w:rPr>
      </w:pPr>
      <w:r w:rsidRPr="00773BF8">
        <w:rPr>
          <w:rFonts w:ascii="Book Antiqua" w:eastAsia="PingFang TC" w:hAnsi="Book Antiqua" w:cs="PingFang TC"/>
          <w:sz w:val="21"/>
          <w:szCs w:val="21"/>
        </w:rPr>
        <w:t>Peter saw the cloth that had wrapped Jesus’ head (20:6–7).</w:t>
      </w:r>
    </w:p>
    <w:p w14:paraId="0B6D12F9" w14:textId="77777777" w:rsidR="002455C6" w:rsidRPr="00773BF8" w:rsidRDefault="00000000">
      <w:pPr>
        <w:numPr>
          <w:ilvl w:val="0"/>
          <w:numId w:val="1"/>
        </w:numPr>
        <w:rPr>
          <w:rFonts w:ascii="Book Antiqua" w:eastAsia="PingFang TC" w:hAnsi="Book Antiqua" w:cs="PingFang TC"/>
          <w:sz w:val="21"/>
          <w:szCs w:val="21"/>
        </w:rPr>
      </w:pPr>
      <w:r w:rsidRPr="00773BF8">
        <w:rPr>
          <w:rFonts w:ascii="Book Antiqua" w:eastAsia="PingFang TC" w:hAnsi="Book Antiqua" w:cs="PingFang TC"/>
          <w:sz w:val="21"/>
          <w:szCs w:val="21"/>
        </w:rPr>
        <w:t>Then that disciple went in and “saw and believed” (20:8).</w:t>
      </w:r>
    </w:p>
    <w:p w14:paraId="727D87F0" w14:textId="77777777" w:rsidR="002455C6" w:rsidRPr="00773BF8" w:rsidRDefault="00000000">
      <w:pPr>
        <w:numPr>
          <w:ilvl w:val="0"/>
          <w:numId w:val="1"/>
        </w:numPr>
        <w:rPr>
          <w:rFonts w:ascii="Book Antiqua" w:eastAsia="PingFang TC" w:hAnsi="Book Antiqua" w:cs="PingFang TC"/>
          <w:sz w:val="21"/>
          <w:szCs w:val="21"/>
        </w:rPr>
      </w:pPr>
      <w:r w:rsidRPr="00773BF8">
        <w:rPr>
          <w:rFonts w:ascii="Book Antiqua" w:eastAsia="PingFang TC" w:hAnsi="Book Antiqua" w:cs="PingFang TC"/>
          <w:sz w:val="21"/>
          <w:szCs w:val="21"/>
        </w:rPr>
        <w:t>At first Mary did not understand what had happened, but when Jesus appeared to her, she said to the disciples, “I have seen the Lord!” (20:18).</w:t>
      </w:r>
    </w:p>
    <w:p w14:paraId="54D4FCD6" w14:textId="77777777" w:rsidR="002455C6" w:rsidRPr="00773BF8" w:rsidRDefault="00000000">
      <w:pPr>
        <w:numPr>
          <w:ilvl w:val="0"/>
          <w:numId w:val="1"/>
        </w:numPr>
        <w:spacing w:after="280"/>
        <w:rPr>
          <w:rFonts w:ascii="Book Antiqua" w:eastAsia="PingFang TC" w:hAnsi="Book Antiqua" w:cs="PingFang TC"/>
          <w:sz w:val="21"/>
          <w:szCs w:val="21"/>
        </w:rPr>
      </w:pPr>
      <w:r w:rsidRPr="00773BF8">
        <w:rPr>
          <w:rFonts w:ascii="Book Antiqua" w:eastAsia="PingFang TC" w:hAnsi="Book Antiqua" w:cs="PingFang TC"/>
          <w:sz w:val="21"/>
          <w:szCs w:val="21"/>
        </w:rPr>
        <w:t>When Jesus appeared to the disciples and showed them His hands and His side, the disciples rejoiced (20:19).</w:t>
      </w:r>
    </w:p>
    <w:p w14:paraId="0251A42B"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People see and then believe. Thomas did not believe the other disciples and said, “Unless I see the mark of the nails in His hands and put my hand into His side, I will never believe.” But Jesus said to him, “You believe because you have seen Me; blessed are those who have not seen and yet have believed.”</w:t>
      </w:r>
    </w:p>
    <w:p w14:paraId="25D119C1"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lastRenderedPageBreak/>
        <w:t xml:space="preserve">When we think we already understand Jesus, the Lord Jesus instead </w:t>
      </w:r>
      <w:proofErr w:type="gramStart"/>
      <w:r w:rsidRPr="00773BF8">
        <w:rPr>
          <w:rFonts w:ascii="Book Antiqua" w:eastAsia="PingFang TC" w:hAnsi="Book Antiqua" w:cs="PingFang TC"/>
          <w:sz w:val="21"/>
          <w:szCs w:val="21"/>
        </w:rPr>
        <w:t>says</w:t>
      </w:r>
      <w:proofErr w:type="gramEnd"/>
      <w:r w:rsidRPr="00773BF8">
        <w:rPr>
          <w:rFonts w:ascii="Book Antiqua" w:eastAsia="PingFang TC" w:hAnsi="Book Antiqua" w:cs="PingFang TC"/>
          <w:sz w:val="21"/>
          <w:szCs w:val="21"/>
        </w:rPr>
        <w:t xml:space="preserve"> “believe without seeing.” In another passage Jesus says, “I came into this world for judgment, so that those who do not see may see, and those who see may become blind.”</w:t>
      </w:r>
    </w:p>
    <w:p w14:paraId="61D5C2AC"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Sometimes in broad daylight we </w:t>
      </w:r>
      <w:proofErr w:type="gramStart"/>
      <w:r w:rsidRPr="00773BF8">
        <w:rPr>
          <w:rFonts w:ascii="Book Antiqua" w:eastAsia="PingFang TC" w:hAnsi="Book Antiqua" w:cs="PingFang TC"/>
          <w:sz w:val="21"/>
          <w:szCs w:val="21"/>
        </w:rPr>
        <w:t>actually cannot</w:t>
      </w:r>
      <w:proofErr w:type="gramEnd"/>
      <w:r w:rsidRPr="00773BF8">
        <w:rPr>
          <w:rFonts w:ascii="Book Antiqua" w:eastAsia="PingFang TC" w:hAnsi="Book Antiqua" w:cs="PingFang TC"/>
          <w:sz w:val="21"/>
          <w:szCs w:val="21"/>
        </w:rPr>
        <w:t xml:space="preserve"> </w:t>
      </w:r>
      <w:proofErr w:type="gramStart"/>
      <w:r w:rsidRPr="00773BF8">
        <w:rPr>
          <w:rFonts w:ascii="Book Antiqua" w:eastAsia="PingFang TC" w:hAnsi="Book Antiqua" w:cs="PingFang TC"/>
          <w:sz w:val="21"/>
          <w:szCs w:val="21"/>
        </w:rPr>
        <w:t>see;</w:t>
      </w:r>
      <w:proofErr w:type="gramEnd"/>
      <w:r w:rsidRPr="00773BF8">
        <w:rPr>
          <w:rFonts w:ascii="Book Antiqua" w:eastAsia="PingFang TC" w:hAnsi="Book Antiqua" w:cs="PingFang TC"/>
          <w:sz w:val="21"/>
          <w:szCs w:val="21"/>
        </w:rPr>
        <w:t xml:space="preserve"> yet in the darkness we begin to see.</w:t>
      </w:r>
    </w:p>
    <w:p w14:paraId="185195E1"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A pastor from Georgia, Barbara Brown Taylor, who is also a writer, speaks in one of her books, </w:t>
      </w:r>
      <w:r w:rsidRPr="00773BF8">
        <w:rPr>
          <w:rFonts w:ascii="Book Antiqua" w:eastAsia="PingFang TC" w:hAnsi="Book Antiqua" w:cs="PingFang TC"/>
          <w:i/>
          <w:iCs/>
          <w:sz w:val="21"/>
          <w:szCs w:val="21"/>
        </w:rPr>
        <w:t>Learning to Walk in the Dark</w:t>
      </w:r>
      <w:r w:rsidRPr="00773BF8">
        <w:rPr>
          <w:rFonts w:ascii="Book Antiqua" w:eastAsia="PingFang TC" w:hAnsi="Book Antiqua" w:cs="PingFang TC"/>
          <w:sz w:val="21"/>
          <w:szCs w:val="21"/>
        </w:rPr>
        <w:t>, about how we can still faithfully walk the path of faith even when we do not have all the answers. She encourages us to lay aside fear and anxiety and explore the lessons God wants to teach us in the darkness.</w:t>
      </w:r>
    </w:p>
    <w:p w14:paraId="5FF3A85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In Christian history, people have often associated light with goodness and darkness with evil. But the Bible reminds us that God neither slumbers nor sleeps. This tells us that even in the darkness, God is still at work.</w:t>
      </w:r>
    </w:p>
    <w:p w14:paraId="661C7807"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Psalm 139:11–12 says: “If I say, ‘Surely the darkness will cover me, and the light around me will become night,’ even the darkness is not dark to You; the night shines like the day; darkness and light are alike to You.” Darkness can also bring illumination.</w:t>
      </w:r>
    </w:p>
    <w:p w14:paraId="3B888162"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Jesus even overturned the religious assumptions of that time: those who think they see are </w:t>
      </w:r>
      <w:proofErr w:type="gramStart"/>
      <w:r w:rsidRPr="00773BF8">
        <w:rPr>
          <w:rFonts w:ascii="Book Antiqua" w:eastAsia="PingFang TC" w:hAnsi="Book Antiqua" w:cs="PingFang TC"/>
          <w:sz w:val="21"/>
          <w:szCs w:val="21"/>
        </w:rPr>
        <w:t>actually blind</w:t>
      </w:r>
      <w:proofErr w:type="gramEnd"/>
      <w:r w:rsidRPr="00773BF8">
        <w:rPr>
          <w:rFonts w:ascii="Book Antiqua" w:eastAsia="PingFang TC" w:hAnsi="Book Antiqua" w:cs="PingFang TC"/>
          <w:sz w:val="21"/>
          <w:szCs w:val="21"/>
        </w:rPr>
        <w:t>, while those who admit they cannot see begin to see. When people say, “We see very clearly,” this is often human pride.</w:t>
      </w:r>
    </w:p>
    <w:p w14:paraId="4C15EECC"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True spiritual humility is to acknowledge that we do not know everything. We cannot see everything clearly.</w:t>
      </w:r>
    </w:p>
    <w:p w14:paraId="69A4D185"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 beggar who had once been blind said, “One thing I know: I was blind, but now I see.” He did not have all the answers, but he had a real experience.</w:t>
      </w:r>
    </w:p>
    <w:p w14:paraId="65AB0248" w14:textId="77777777" w:rsidR="002455C6" w:rsidRPr="00773BF8" w:rsidRDefault="00000000">
      <w:pPr>
        <w:rPr>
          <w:rFonts w:ascii="Book Antiqua" w:eastAsia="PingFang TC" w:hAnsi="Book Antiqua" w:cs="PingFang TC"/>
          <w:sz w:val="21"/>
          <w:szCs w:val="21"/>
        </w:rPr>
      </w:pPr>
      <w:r w:rsidRPr="00773BF8">
        <w:rPr>
          <w:rFonts w:ascii="Book Antiqua" w:eastAsia="PingFang TC" w:hAnsi="Book Antiqua" w:cs="PingFang TC"/>
          <w:sz w:val="21"/>
          <w:szCs w:val="21"/>
        </w:rPr>
        <w:t xml:space="preserve">Faith is sometimes like this—we do not follow Jesus in complete </w:t>
      </w:r>
      <w:proofErr w:type="gramStart"/>
      <w:r w:rsidRPr="00773BF8">
        <w:rPr>
          <w:rFonts w:ascii="Book Antiqua" w:eastAsia="PingFang TC" w:hAnsi="Book Antiqua" w:cs="PingFang TC"/>
          <w:sz w:val="21"/>
          <w:szCs w:val="21"/>
        </w:rPr>
        <w:t>understanding, but</w:t>
      </w:r>
      <w:proofErr w:type="gramEnd"/>
      <w:r w:rsidRPr="00773BF8">
        <w:rPr>
          <w:rFonts w:ascii="Book Antiqua" w:eastAsia="PingFang TC" w:hAnsi="Book Antiqua" w:cs="PingFang TC"/>
          <w:sz w:val="21"/>
          <w:szCs w:val="21"/>
        </w:rPr>
        <w:t xml:space="preserve"> follow His light in the darkness. The disciples were the same. They left everything to follow </w:t>
      </w:r>
      <w:proofErr w:type="gramStart"/>
      <w:r w:rsidRPr="00773BF8">
        <w:rPr>
          <w:rFonts w:ascii="Book Antiqua" w:eastAsia="PingFang TC" w:hAnsi="Book Antiqua" w:cs="PingFang TC"/>
          <w:sz w:val="21"/>
          <w:szCs w:val="21"/>
        </w:rPr>
        <w:t>Jesus, yet</w:t>
      </w:r>
      <w:proofErr w:type="gramEnd"/>
      <w:r w:rsidRPr="00773BF8">
        <w:rPr>
          <w:rFonts w:ascii="Book Antiqua" w:eastAsia="PingFang TC" w:hAnsi="Book Antiqua" w:cs="PingFang TC"/>
          <w:sz w:val="21"/>
          <w:szCs w:val="21"/>
        </w:rPr>
        <w:t xml:space="preserve"> did not know where He was going. They moved forward in the darkness, but His presence illuminated the road.</w:t>
      </w:r>
    </w:p>
    <w:p w14:paraId="63BF448B"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However, those who believe they should see most clearly sometimes cannot see. In the film </w:t>
      </w:r>
      <w:r w:rsidRPr="00773BF8">
        <w:rPr>
          <w:rFonts w:ascii="Book Antiqua" w:eastAsia="PingFang TC" w:hAnsi="Book Antiqua" w:cs="PingFang TC"/>
          <w:i/>
          <w:iCs/>
          <w:sz w:val="21"/>
          <w:szCs w:val="21"/>
        </w:rPr>
        <w:t>Ray</w:t>
      </w:r>
      <w:r w:rsidRPr="00773BF8">
        <w:rPr>
          <w:rFonts w:ascii="Book Antiqua" w:eastAsia="PingFang TC" w:hAnsi="Book Antiqua" w:cs="PingFang TC"/>
          <w:sz w:val="21"/>
          <w:szCs w:val="21"/>
        </w:rPr>
        <w:t>, the blind musician Ray Charles is playing music in a bar when a group of church people rush in and accuse him of blasphemy, saying he has turned music that belongs to God into something worldly. Ray Charles responds, “If you want me to keep playing, let me hear an ‘Amen’!”</w:t>
      </w:r>
    </w:p>
    <w:p w14:paraId="38BB2CB7"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 crowd immediately responds, “Amen!” Though he was physically blind, at that moment he had spiritual eyes.</w:t>
      </w:r>
    </w:p>
    <w:p w14:paraId="027EAABB"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However, seeing in the darkness is not easy. Ray Charles once said, “Do you know what it feels like to slowly go blind? Every day you pray, asking for just a little bit of light, but you receive nothing.”</w:t>
      </w:r>
    </w:p>
    <w:p w14:paraId="53C077E7"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Seeing in the darkness is not easy. But it is there that we learn to trust the One who said, “I am the light of the world.”</w:t>
      </w:r>
    </w:p>
    <w:p w14:paraId="2CF30CA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lastRenderedPageBreak/>
        <w:t>Many people prefer to see first and then believe, so we often say, “I’ll believe it when I see it.” “When I see it, I’ll know.” “Unless I see the nail marks in His hands and put my hand into His side, I will not believe.”</w:t>
      </w:r>
    </w:p>
    <w:p w14:paraId="46C76DE8" w14:textId="77777777" w:rsidR="002455C6" w:rsidRPr="00773BF8" w:rsidRDefault="00000000">
      <w:pPr>
        <w:spacing w:before="280" w:after="280"/>
        <w:rPr>
          <w:rFonts w:ascii="Book Antiqua" w:hAnsi="Book Antiqua"/>
          <w:sz w:val="21"/>
          <w:szCs w:val="21"/>
        </w:rPr>
      </w:pPr>
      <w:r w:rsidRPr="00773BF8">
        <w:rPr>
          <w:rFonts w:ascii="Book Antiqua" w:hAnsi="Book Antiqua"/>
          <w:sz w:val="21"/>
          <w:szCs w:val="21"/>
        </w:rPr>
        <w:t>This is an experiential faith that connects seeing with believing—taking sensory experience as the basis of faith. But what if what we see and experience is only darkness and things unseen? Then fear, doubt, and uncertainty of faith may appear, because there seems to be no light before us.</w:t>
      </w:r>
    </w:p>
    <w:p w14:paraId="2D0DB261"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Even a Christian may fear the dark night of the soul, because it seems that no light comes from within.</w:t>
      </w:r>
    </w:p>
    <w:p w14:paraId="4C89A4D6"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Sometimes what we feel is only emptiness—nothing at all, as if even God’s presence is not there.</w:t>
      </w:r>
    </w:p>
    <w:p w14:paraId="3964FE4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When we cannot see, we are forced to face our fear of darkness, our fear of the unknown, and the true condition of our faith.</w:t>
      </w:r>
    </w:p>
    <w:p w14:paraId="1406AD41"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In the darkness, we see what we truly are. Before that awe-inspiring mystery (</w:t>
      </w:r>
      <w:proofErr w:type="spellStart"/>
      <w:r w:rsidRPr="00773BF8">
        <w:rPr>
          <w:rFonts w:ascii="Book Antiqua" w:eastAsia="PingFang TC" w:hAnsi="Book Antiqua" w:cs="PingFang TC"/>
          <w:sz w:val="21"/>
          <w:szCs w:val="21"/>
        </w:rPr>
        <w:t>mysterium</w:t>
      </w:r>
      <w:proofErr w:type="spellEnd"/>
      <w:r w:rsidRPr="00773BF8">
        <w:rPr>
          <w:rFonts w:ascii="Book Antiqua" w:eastAsia="PingFang TC" w:hAnsi="Book Antiqua" w:cs="PingFang TC"/>
          <w:sz w:val="21"/>
          <w:szCs w:val="21"/>
        </w:rPr>
        <w:t xml:space="preserve"> </w:t>
      </w:r>
      <w:proofErr w:type="spellStart"/>
      <w:r w:rsidRPr="00773BF8">
        <w:rPr>
          <w:rFonts w:ascii="Book Antiqua" w:eastAsia="PingFang TC" w:hAnsi="Book Antiqua" w:cs="PingFang TC"/>
          <w:sz w:val="21"/>
          <w:szCs w:val="21"/>
        </w:rPr>
        <w:t>tremendum</w:t>
      </w:r>
      <w:proofErr w:type="spellEnd"/>
      <w:r w:rsidRPr="00773BF8">
        <w:rPr>
          <w:rFonts w:ascii="Book Antiqua" w:eastAsia="PingFang TC" w:hAnsi="Book Antiqua" w:cs="PingFang TC"/>
          <w:sz w:val="21"/>
          <w:szCs w:val="21"/>
        </w:rPr>
        <w:t>), we finally see ourselves clearly. As the Bible says, “Now we see in a mirror dimly” (1 Corinthians 13:12).</w:t>
      </w:r>
    </w:p>
    <w:p w14:paraId="03F6835F"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This is precisely the place to which God calls us—a place of not knowing and not seeing.</w:t>
      </w:r>
    </w:p>
    <w:p w14:paraId="4CDE9C64"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God sometimes uses darkness to point out our blind spots, help us grow, and enable us to truly see. In the darkness you may truly see who you are and who God is.</w:t>
      </w:r>
    </w:p>
    <w:p w14:paraId="2E167B3A"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Many people fear the darkness of blindness, but God has His reasons that human reason can never fully understand. The meaning of darkness is precisely this: we do not know everything, nor can we see everything. We cannot.</w:t>
      </w:r>
    </w:p>
    <w:p w14:paraId="2DC161B0"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In the pursuit of knowledge there is an ironic phenomenon: the more you know, the more you discover how much you do not know.</w:t>
      </w:r>
    </w:p>
    <w:p w14:paraId="56843951"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Not knowing. Not seeing. Not saying, “We see,” but acknowledging, “We have not seen.”</w:t>
      </w:r>
    </w:p>
    <w:p w14:paraId="3B6AEEB4"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This is what the Christian spiritual tradition calls the </w:t>
      </w:r>
      <w:r w:rsidRPr="00773BF8">
        <w:rPr>
          <w:rFonts w:ascii="Book Antiqua" w:eastAsia="PingFang TC" w:hAnsi="Book Antiqua" w:cs="PingFang TC"/>
          <w:i/>
          <w:iCs/>
          <w:sz w:val="21"/>
          <w:szCs w:val="21"/>
        </w:rPr>
        <w:t xml:space="preserve">via </w:t>
      </w:r>
      <w:proofErr w:type="spellStart"/>
      <w:r w:rsidRPr="00773BF8">
        <w:rPr>
          <w:rFonts w:ascii="Book Antiqua" w:eastAsia="PingFang TC" w:hAnsi="Book Antiqua" w:cs="PingFang TC"/>
          <w:i/>
          <w:iCs/>
          <w:sz w:val="21"/>
          <w:szCs w:val="21"/>
        </w:rPr>
        <w:t>negativa</w:t>
      </w:r>
      <w:proofErr w:type="spellEnd"/>
      <w:r w:rsidRPr="00773BF8">
        <w:rPr>
          <w:rFonts w:ascii="Book Antiqua" w:eastAsia="PingFang TC" w:hAnsi="Book Antiqua" w:cs="PingFang TC"/>
          <w:sz w:val="21"/>
          <w:szCs w:val="21"/>
        </w:rPr>
        <w:t xml:space="preserve"> (the negative way). It is a form of negative theology. It acknowledges one thing: God is not an object within the universe.</w:t>
      </w:r>
    </w:p>
    <w:p w14:paraId="0C17334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Therefore, using human language and concepts to describe God will ultimately be limited and incomplete. God’s nature is that He is not fully knowable (unknowable) and difficult to express in words (ineffable).</w:t>
      </w:r>
    </w:p>
    <w:p w14:paraId="1CBD39A5"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All human language is </w:t>
      </w:r>
      <w:proofErr w:type="gramStart"/>
      <w:r w:rsidRPr="00773BF8">
        <w:rPr>
          <w:rFonts w:ascii="Book Antiqua" w:eastAsia="PingFang TC" w:hAnsi="Book Antiqua" w:cs="PingFang TC"/>
          <w:sz w:val="21"/>
          <w:szCs w:val="21"/>
        </w:rPr>
        <w:t>actually insufficient</w:t>
      </w:r>
      <w:proofErr w:type="gramEnd"/>
      <w:r w:rsidRPr="00773BF8">
        <w:rPr>
          <w:rFonts w:ascii="Book Antiqua" w:eastAsia="PingFang TC" w:hAnsi="Book Antiqua" w:cs="PingFang TC"/>
          <w:sz w:val="21"/>
          <w:szCs w:val="21"/>
        </w:rPr>
        <w:t xml:space="preserve"> when describing God. God surpasses the limits of our understanding. Therefore, sometimes describing God by saying “what God is not” is closer to the truth, because all our definitions of God may ultimately be incomplete or even mistaken.</w:t>
      </w:r>
    </w:p>
    <w:p w14:paraId="524AA05E"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Human definitions cannot truly define the One who is immortal, invisible, the only wise God, who dwells in unapproachable light. Therefore, we can honestly say: “We have not seen.” “We are blind.” “We see in the darkness.”</w:t>
      </w:r>
    </w:p>
    <w:p w14:paraId="09805F53"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lastRenderedPageBreak/>
        <w:t>This negative way (</w:t>
      </w:r>
      <w:r w:rsidRPr="00773BF8">
        <w:rPr>
          <w:rFonts w:ascii="Book Antiqua" w:eastAsia="PingFang TC" w:hAnsi="Book Antiqua" w:cs="PingFang TC"/>
          <w:i/>
          <w:iCs/>
          <w:sz w:val="21"/>
          <w:szCs w:val="21"/>
        </w:rPr>
        <w:t xml:space="preserve">via </w:t>
      </w:r>
      <w:proofErr w:type="spellStart"/>
      <w:r w:rsidRPr="00773BF8">
        <w:rPr>
          <w:rFonts w:ascii="Book Antiqua" w:eastAsia="PingFang TC" w:hAnsi="Book Antiqua" w:cs="PingFang TC"/>
          <w:i/>
          <w:iCs/>
          <w:sz w:val="21"/>
          <w:szCs w:val="21"/>
        </w:rPr>
        <w:t>negativa</w:t>
      </w:r>
      <w:proofErr w:type="spellEnd"/>
      <w:r w:rsidRPr="00773BF8">
        <w:rPr>
          <w:rFonts w:ascii="Book Antiqua" w:eastAsia="PingFang TC" w:hAnsi="Book Antiqua" w:cs="PingFang TC"/>
          <w:sz w:val="21"/>
          <w:szCs w:val="21"/>
        </w:rPr>
        <w:t>) is to know God through negation.</w:t>
      </w:r>
    </w:p>
    <w:p w14:paraId="4D322B7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This apophatic theology stands in contrast to another kind of theology, cataphatic theology. Cataphatic theology makes explicit affirmations about God, such as the Incarnation and the attributes of God.</w:t>
      </w:r>
    </w:p>
    <w:p w14:paraId="42EC6530"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But there is also a danger here: we may speak many things on behalf of God that God Himself has never declared.</w:t>
      </w:r>
    </w:p>
    <w:p w14:paraId="57DD4516"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Cataphatic theology in some sense implies, “We have seen.” But apophatic theology reminds us to remain humble: we have not seen.</w:t>
      </w:r>
    </w:p>
    <w:p w14:paraId="292EB250"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 Church Father Gregory of Nyssa once said that people often live in “incomprehensible darkness.”</w:t>
      </w:r>
    </w:p>
    <w:p w14:paraId="3FDC11CA"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 fourth-century bishop Cyril of Jerusalem also said, “In matters concerning God, acknowledging one’s ignorance is the best knowledge.” What we truly know is that we do not know. What we truly see is that we have not seen.</w:t>
      </w:r>
    </w:p>
    <w:p w14:paraId="2AA1C48A"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As the Bible says: “No one has ever seen God” (John 1:18). “He dwells in unapproachable light” (1 Timothy 6:16). “How unsearchable are the ways of God!” (Romans 11:33).</w:t>
      </w:r>
    </w:p>
    <w:p w14:paraId="0DDFCDA8"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The Bible leads us toward the God who cannot be fully known, toward the unseen God, even into the darkness.</w:t>
      </w:r>
    </w:p>
    <w:p w14:paraId="2AB4D092"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Yet Jesus seems to call for a kind of negative spiritual life—acknowledging that we do not know and that we have not seen. It is a vision that sees in the darkness, a faith that sees through negation.</w:t>
      </w:r>
    </w:p>
    <w:p w14:paraId="5199864F"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Jesus calls us into the depths of the life of discipleship: not to see completely in the light, but to learn to see in the darkness. And God is in the darkness.</w:t>
      </w:r>
    </w:p>
    <w:p w14:paraId="029A4FD3"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I know this because Jesus Himself walked this negative way. He walked the Via Dolorosa—the way of suffering.</w:t>
      </w:r>
    </w:p>
    <w:p w14:paraId="754026C4" w14:textId="77777777" w:rsidR="002455C6" w:rsidRPr="00773BF8" w:rsidRDefault="00000000">
      <w:pPr>
        <w:spacing w:before="280" w:after="280"/>
        <w:rPr>
          <w:rFonts w:ascii="Book Antiqua" w:eastAsia="PingFang TC" w:hAnsi="Book Antiqua" w:cs="PingFang TC"/>
          <w:sz w:val="21"/>
          <w:szCs w:val="21"/>
        </w:rPr>
      </w:pPr>
      <w:r w:rsidRPr="00773BF8">
        <w:rPr>
          <w:rFonts w:ascii="Book Antiqua" w:eastAsia="PingFang TC" w:hAnsi="Book Antiqua" w:cs="PingFang TC"/>
          <w:sz w:val="21"/>
          <w:szCs w:val="21"/>
        </w:rPr>
        <w:t xml:space="preserve">The path He walked was the path of negation and the path of death. He entered the abyss of the cross and embraced complete negation. When He was crucified, He </w:t>
      </w:r>
      <w:proofErr w:type="gramStart"/>
      <w:r w:rsidRPr="00773BF8">
        <w:rPr>
          <w:rFonts w:ascii="Book Antiqua" w:eastAsia="PingFang TC" w:hAnsi="Book Antiqua" w:cs="PingFang TC"/>
          <w:sz w:val="21"/>
          <w:szCs w:val="21"/>
        </w:rPr>
        <w:t>entered into</w:t>
      </w:r>
      <w:proofErr w:type="gramEnd"/>
      <w:r w:rsidRPr="00773BF8">
        <w:rPr>
          <w:rFonts w:ascii="Book Antiqua" w:eastAsia="PingFang TC" w:hAnsi="Book Antiqua" w:cs="PingFang TC"/>
          <w:sz w:val="21"/>
          <w:szCs w:val="21"/>
        </w:rPr>
        <w:t xml:space="preserve"> the deep darkness of death.</w:t>
      </w:r>
    </w:p>
    <w:p w14:paraId="46960DDB" w14:textId="77777777" w:rsidR="002455C6" w:rsidRPr="00773BF8" w:rsidRDefault="00000000">
      <w:pPr>
        <w:spacing w:before="280" w:after="280"/>
        <w:rPr>
          <w:rFonts w:ascii="Book Antiqua" w:hAnsi="Book Antiqua"/>
          <w:sz w:val="21"/>
          <w:szCs w:val="21"/>
        </w:rPr>
      </w:pPr>
      <w:r w:rsidRPr="00773BF8">
        <w:rPr>
          <w:rFonts w:ascii="Book Antiqua" w:hAnsi="Book Antiqua"/>
          <w:sz w:val="21"/>
          <w:szCs w:val="21"/>
        </w:rPr>
        <w:t>Yet a hymn says:</w:t>
      </w:r>
    </w:p>
    <w:p w14:paraId="7B895D3D" w14:textId="77777777" w:rsidR="0041362D" w:rsidRPr="00773BF8" w:rsidRDefault="0041362D">
      <w:pPr>
        <w:rPr>
          <w:rFonts w:ascii="Book Antiqua" w:hAnsi="Book Antiqua" w:cs="AppleSystemUIFont"/>
          <w:sz w:val="21"/>
          <w:szCs w:val="21"/>
          <w:lang w:val="en-US"/>
        </w:rPr>
      </w:pPr>
      <w:r w:rsidRPr="00773BF8">
        <w:rPr>
          <w:rFonts w:ascii="Book Antiqua" w:hAnsi="Book Antiqua" w:cs="AppleSystemUIFont"/>
          <w:sz w:val="21"/>
          <w:szCs w:val="21"/>
          <w:lang w:val="en-US"/>
        </w:rPr>
        <w:t>“On a hill far away stood an old rugged cross,</w:t>
      </w:r>
      <w:r w:rsidRPr="00773BF8">
        <w:rPr>
          <w:rFonts w:ascii="MS Mincho" w:eastAsia="MS Mincho" w:hAnsi="MS Mincho" w:cs="MS Mincho" w:hint="eastAsia"/>
          <w:sz w:val="21"/>
          <w:szCs w:val="21"/>
          <w:lang w:val="en-US"/>
        </w:rPr>
        <w:t> </w:t>
      </w:r>
      <w:r w:rsidRPr="00773BF8">
        <w:rPr>
          <w:rFonts w:ascii="Book Antiqua" w:hAnsi="Book Antiqua" w:cs="AppleSystemUIFont"/>
          <w:sz w:val="21"/>
          <w:szCs w:val="21"/>
          <w:lang w:val="en-US"/>
        </w:rPr>
        <w:t>the emblem of suffering and shame;”</w:t>
      </w:r>
    </w:p>
    <w:p w14:paraId="28D1CAFA" w14:textId="0B8EACD7" w:rsidR="002455C6" w:rsidRPr="00773BF8" w:rsidRDefault="00000000">
      <w:pPr>
        <w:rPr>
          <w:rFonts w:ascii="Book Antiqua" w:hAnsi="Book Antiqua"/>
          <w:sz w:val="21"/>
          <w:szCs w:val="21"/>
        </w:rPr>
      </w:pPr>
      <w:r w:rsidRPr="00773BF8">
        <w:rPr>
          <w:rFonts w:ascii="Book Antiqua" w:hAnsi="Book Antiqua"/>
          <w:sz w:val="21"/>
          <w:szCs w:val="21"/>
        </w:rPr>
        <w:t>Yet the blood that flowed from that old cross—</w:t>
      </w:r>
    </w:p>
    <w:p w14:paraId="1364ADCB" w14:textId="77777777" w:rsidR="002455C6" w:rsidRPr="00773BF8" w:rsidRDefault="002455C6">
      <w:pPr>
        <w:rPr>
          <w:rFonts w:ascii="Book Antiqua" w:hAnsi="Book Antiqua"/>
          <w:sz w:val="21"/>
          <w:szCs w:val="21"/>
        </w:rPr>
      </w:pPr>
    </w:p>
    <w:p w14:paraId="186BF77A" w14:textId="77777777" w:rsidR="002455C6" w:rsidRPr="00773BF8" w:rsidRDefault="00000000">
      <w:pPr>
        <w:rPr>
          <w:rFonts w:ascii="Book Antiqua" w:hAnsi="Book Antiqua"/>
          <w:sz w:val="21"/>
          <w:szCs w:val="21"/>
        </w:rPr>
      </w:pPr>
      <w:r w:rsidRPr="00773BF8">
        <w:rPr>
          <w:rFonts w:ascii="Book Antiqua" w:hAnsi="Book Antiqua"/>
          <w:sz w:val="21"/>
          <w:szCs w:val="21"/>
        </w:rPr>
        <w:t>Blood on the leaves</w:t>
      </w:r>
    </w:p>
    <w:p w14:paraId="0101B5AD" w14:textId="77777777" w:rsidR="002455C6" w:rsidRPr="00773BF8" w:rsidRDefault="00000000">
      <w:pPr>
        <w:rPr>
          <w:rFonts w:ascii="Book Antiqua" w:hAnsi="Book Antiqua"/>
          <w:sz w:val="21"/>
          <w:szCs w:val="21"/>
        </w:rPr>
      </w:pPr>
      <w:r w:rsidRPr="00773BF8">
        <w:rPr>
          <w:rFonts w:ascii="Book Antiqua" w:hAnsi="Book Antiqua"/>
          <w:sz w:val="21"/>
          <w:szCs w:val="21"/>
        </w:rPr>
        <w:t>Blood on the roots</w:t>
      </w:r>
    </w:p>
    <w:p w14:paraId="39A363B9" w14:textId="77777777" w:rsidR="002455C6" w:rsidRPr="00773BF8" w:rsidRDefault="00000000">
      <w:pPr>
        <w:rPr>
          <w:rFonts w:ascii="Book Antiqua" w:hAnsi="Book Antiqua"/>
          <w:sz w:val="21"/>
          <w:szCs w:val="21"/>
        </w:rPr>
      </w:pPr>
      <w:r w:rsidRPr="00773BF8">
        <w:rPr>
          <w:rFonts w:ascii="Book Antiqua" w:hAnsi="Book Antiqua"/>
          <w:sz w:val="21"/>
          <w:szCs w:val="21"/>
        </w:rPr>
        <w:t>Blood on the bark</w:t>
      </w:r>
    </w:p>
    <w:p w14:paraId="4C357AB0" w14:textId="77777777" w:rsidR="002455C6" w:rsidRPr="00773BF8" w:rsidRDefault="002455C6">
      <w:pPr>
        <w:rPr>
          <w:rFonts w:ascii="Book Antiqua" w:hAnsi="Book Antiqua"/>
          <w:sz w:val="21"/>
          <w:szCs w:val="21"/>
        </w:rPr>
      </w:pPr>
    </w:p>
    <w:p w14:paraId="1439703E" w14:textId="50DE629A" w:rsidR="0041362D" w:rsidRPr="00773BF8" w:rsidRDefault="00000000" w:rsidP="0041362D">
      <w:pPr>
        <w:rPr>
          <w:rFonts w:ascii="Book Antiqua" w:hAnsi="Book Antiqua"/>
          <w:sz w:val="21"/>
          <w:szCs w:val="21"/>
        </w:rPr>
      </w:pPr>
      <w:r w:rsidRPr="00773BF8">
        <w:rPr>
          <w:rFonts w:ascii="Book Antiqua" w:hAnsi="Book Antiqua"/>
          <w:sz w:val="21"/>
          <w:szCs w:val="21"/>
        </w:rPr>
        <w:t xml:space="preserve">That blood is dark, deep, and shadowed. </w:t>
      </w:r>
      <w:r w:rsidR="0041362D" w:rsidRPr="00773BF8">
        <w:rPr>
          <w:rFonts w:ascii="Book Antiqua" w:hAnsi="Book Antiqua"/>
          <w:sz w:val="21"/>
          <w:szCs w:val="21"/>
        </w:rPr>
        <w:t>may we learn to see.</w:t>
      </w:r>
    </w:p>
    <w:p w14:paraId="3AB08602" w14:textId="7A93C107" w:rsidR="002455C6" w:rsidRPr="00773BF8" w:rsidRDefault="002455C6">
      <w:pPr>
        <w:rPr>
          <w:rFonts w:ascii="Book Antiqua" w:hAnsi="Book Antiqua"/>
          <w:sz w:val="22"/>
          <w:szCs w:val="22"/>
        </w:rPr>
      </w:pPr>
    </w:p>
    <w:sectPr w:rsidR="002455C6" w:rsidRPr="00773BF8">
      <w:footerReference w:type="default" r:id="rId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5E771" w14:textId="77777777" w:rsidR="00DF4564" w:rsidRDefault="00DF4564">
      <w:r>
        <w:separator/>
      </w:r>
    </w:p>
  </w:endnote>
  <w:endnote w:type="continuationSeparator" w:id="0">
    <w:p w14:paraId="1C14D8DC" w14:textId="77777777" w:rsidR="00DF4564" w:rsidRDefault="00DF45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auto"/>
    <w:pitch w:val="default"/>
    <w:embedRegular r:id="rId1" w:fontKey="{A2F76A81-09C8-A141-961C-E9E9CDDD562D}"/>
  </w:font>
  <w:font w:name="Courier New">
    <w:panose1 w:val="02070309020205020404"/>
    <w:charset w:val="00"/>
    <w:family w:val="modern"/>
    <w:pitch w:val="fixed"/>
    <w:sig w:usb0="E0002AFF" w:usb1="C0007843" w:usb2="00000009" w:usb3="00000000" w:csb0="000001FF" w:csb1="00000000"/>
    <w:embedRegular r:id="rId2" w:fontKey="{AD11D99C-54C0-0742-B266-1A3321DB9718}"/>
  </w:font>
  <w:font w:name="Times New Roman">
    <w:panose1 w:val="02020603050405020304"/>
    <w:charset w:val="00"/>
    <w:family w:val="roman"/>
    <w:pitch w:val="variable"/>
    <w:sig w:usb0="E0002EFF" w:usb1="C000785B" w:usb2="00000009" w:usb3="00000000" w:csb0="000001FF" w:csb1="00000000"/>
    <w:embedRegular r:id="rId3" w:fontKey="{B36AB396-07E1-7641-9E85-6C33DB99C6DB}"/>
    <w:embedBold r:id="rId4" w:fontKey="{7E227B07-4CBF-E442-98FC-A804A7FF6AA3}"/>
    <w:embedItalic r:id="rId5" w:fontKey="{77873327-1A60-854D-A941-C5DA51F96A7B}"/>
  </w:font>
  <w:font w:name="PMingLiU">
    <w:altName w:val="新細明體"/>
    <w:panose1 w:val="02020500000000000000"/>
    <w:charset w:val="88"/>
    <w:family w:val="roman"/>
    <w:pitch w:val="variable"/>
    <w:sig w:usb0="A00002FF" w:usb1="28CFFCFA" w:usb2="00000016" w:usb3="00000000" w:csb0="00100001" w:csb1="00000000"/>
  </w:font>
  <w:font w:name="Play">
    <w:charset w:val="00"/>
    <w:family w:val="auto"/>
    <w:pitch w:val="default"/>
    <w:embedRegular r:id="rId6" w:fontKey="{50F2B4A2-4DCA-074D-9EA1-7D1F0FED3E29}"/>
  </w:font>
  <w:font w:name="Aptos Display">
    <w:panose1 w:val="020B0004020202020204"/>
    <w:charset w:val="00"/>
    <w:family w:val="swiss"/>
    <w:pitch w:val="variable"/>
    <w:sig w:usb0="20000287" w:usb1="00000003" w:usb2="00000000" w:usb3="00000000" w:csb0="0000019F" w:csb1="00000000"/>
    <w:embedRegular r:id="rId7" w:fontKey="{63B75B59-5264-8947-8873-A987EB0A79AA}"/>
  </w:font>
  <w:font w:name="Book Antiqua">
    <w:panose1 w:val="02040602050305030304"/>
    <w:charset w:val="00"/>
    <w:family w:val="roman"/>
    <w:pitch w:val="variable"/>
    <w:sig w:usb0="00000287" w:usb1="00000000" w:usb2="00000000" w:usb3="00000000" w:csb0="0000009F" w:csb1="00000000"/>
    <w:embedRegular r:id="rId8" w:fontKey="{EAC5F105-9C1F-3D41-B180-832430A88FA5}"/>
    <w:embedItalic r:id="rId9" w:fontKey="{0EA3272F-2081-D846-B925-9884A41BE52B}"/>
  </w:font>
  <w:font w:name="PingFang TC">
    <w:panose1 w:val="020B0400000000000000"/>
    <w:charset w:val="88"/>
    <w:family w:val="swiss"/>
    <w:pitch w:val="variable"/>
    <w:sig w:usb0="A00002FF" w:usb1="7ACFFDFB" w:usb2="00000017" w:usb3="00000000" w:csb0="00100001" w:csb1="00000000"/>
    <w:embedRegular r:id="rId10" w:fontKey="{C8BCD775-F72F-6D4A-8E12-3A89F08217FE}"/>
  </w:font>
  <w:font w:name="AppleSystemUIFont">
    <w:altName w:val="Calibri"/>
    <w:panose1 w:val="020B0604020202020204"/>
    <w:charset w:val="00"/>
    <w:family w:val="auto"/>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embedRegular r:id="rId12" w:subsetted="1" w:fontKey="{7526FC92-290E-E04F-AD0F-6F73CD668C33}"/>
  </w:font>
  <w:font w:name="Aptos">
    <w:panose1 w:val="020B0004020202020204"/>
    <w:charset w:val="00"/>
    <w:family w:val="swiss"/>
    <w:pitch w:val="variable"/>
    <w:sig w:usb0="20000287" w:usb1="00000003" w:usb2="00000000" w:usb3="00000000" w:csb0="0000019F" w:csb1="00000000"/>
    <w:embedRegular r:id="rId13" w:fontKey="{3B6F82BB-BB71-9644-9F91-4F727F7A2E1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65906" w14:textId="77777777" w:rsidR="002455C6" w:rsidRDefault="002455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BBC68B" w14:textId="77777777" w:rsidR="00DF4564" w:rsidRDefault="00DF4564">
      <w:r>
        <w:separator/>
      </w:r>
    </w:p>
  </w:footnote>
  <w:footnote w:type="continuationSeparator" w:id="0">
    <w:p w14:paraId="35C96C4C" w14:textId="77777777" w:rsidR="00DF4564" w:rsidRDefault="00DF45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E01270E"/>
    <w:multiLevelType w:val="multilevel"/>
    <w:tmpl w:val="12F45D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7070969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7"/>
  <w:doNotDisplayPageBoundaries/>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55C6"/>
    <w:rsid w:val="002455C6"/>
    <w:rsid w:val="0041362D"/>
    <w:rsid w:val="004C3F9E"/>
    <w:rsid w:val="006B127E"/>
    <w:rsid w:val="00766366"/>
    <w:rsid w:val="00773BF8"/>
    <w:rsid w:val="00914013"/>
    <w:rsid w:val="00DF4564"/>
    <w:rsid w:val="00EA67F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4540A39B"/>
  <w15:docId w15:val="{61D81E75-4524-0A4F-86CB-B80534E9F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outlineLvl w:val="5"/>
    </w:pPr>
    <w:rPr>
      <w:i/>
      <w:iCs/>
      <w:color w:val="595959"/>
    </w:rPr>
  </w:style>
  <w:style w:type="paragraph" w:styleId="Heading7">
    <w:name w:val="heading 7"/>
    <w:basedOn w:val="Normal"/>
    <w:next w:val="Normal"/>
    <w:link w:val="Heading7Char"/>
    <w:uiPriority w:val="9"/>
    <w:semiHidden/>
    <w:unhideWhenUsed/>
    <w:qFormat/>
    <w:rsid w:val="0042633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633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633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Play" w:eastAsia="Play" w:hAnsi="Play" w:cs="Play"/>
      <w:sz w:val="56"/>
      <w:szCs w:val="56"/>
    </w:rPr>
  </w:style>
  <w:style w:type="character" w:customStyle="1" w:styleId="Heading1Char">
    <w:name w:val="Heading 1 Char"/>
    <w:basedOn w:val="DefaultParagraphFont"/>
    <w:link w:val="Heading1"/>
    <w:uiPriority w:val="9"/>
    <w:rsid w:val="0042633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2633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42633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2633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2633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2633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2633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2633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26332"/>
    <w:rPr>
      <w:rFonts w:eastAsiaTheme="majorEastAsia" w:cstheme="majorBidi"/>
      <w:color w:val="272727" w:themeColor="text1" w:themeTint="D8"/>
    </w:rPr>
  </w:style>
  <w:style w:type="character" w:customStyle="1" w:styleId="TitleChar">
    <w:name w:val="Title Char"/>
    <w:basedOn w:val="DefaultParagraphFont"/>
    <w:link w:val="Title"/>
    <w:uiPriority w:val="10"/>
    <w:rsid w:val="00426332"/>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42633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26332"/>
    <w:pPr>
      <w:spacing w:before="160"/>
      <w:jc w:val="center"/>
    </w:pPr>
    <w:rPr>
      <w:i/>
      <w:iCs/>
      <w:color w:val="404040" w:themeColor="text1" w:themeTint="BF"/>
    </w:rPr>
  </w:style>
  <w:style w:type="character" w:customStyle="1" w:styleId="QuoteChar">
    <w:name w:val="Quote Char"/>
    <w:basedOn w:val="DefaultParagraphFont"/>
    <w:link w:val="Quote"/>
    <w:uiPriority w:val="29"/>
    <w:rsid w:val="00426332"/>
    <w:rPr>
      <w:i/>
      <w:iCs/>
      <w:color w:val="404040" w:themeColor="text1" w:themeTint="BF"/>
    </w:rPr>
  </w:style>
  <w:style w:type="paragraph" w:styleId="ListParagraph">
    <w:name w:val="List Paragraph"/>
    <w:basedOn w:val="Normal"/>
    <w:uiPriority w:val="34"/>
    <w:qFormat/>
    <w:rsid w:val="00426332"/>
    <w:pPr>
      <w:ind w:left="720"/>
      <w:contextualSpacing/>
    </w:pPr>
  </w:style>
  <w:style w:type="character" w:styleId="IntenseEmphasis">
    <w:name w:val="Intense Emphasis"/>
    <w:basedOn w:val="DefaultParagraphFont"/>
    <w:uiPriority w:val="21"/>
    <w:qFormat/>
    <w:rsid w:val="00426332"/>
    <w:rPr>
      <w:i/>
      <w:iCs/>
      <w:color w:val="0F4761" w:themeColor="accent1" w:themeShade="BF"/>
    </w:rPr>
  </w:style>
  <w:style w:type="paragraph" w:styleId="IntenseQuote">
    <w:name w:val="Intense Quote"/>
    <w:basedOn w:val="Normal"/>
    <w:next w:val="Normal"/>
    <w:link w:val="IntenseQuoteChar"/>
    <w:uiPriority w:val="30"/>
    <w:qFormat/>
    <w:rsid w:val="0042633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26332"/>
    <w:rPr>
      <w:i/>
      <w:iCs/>
      <w:color w:val="0F4761" w:themeColor="accent1" w:themeShade="BF"/>
    </w:rPr>
  </w:style>
  <w:style w:type="character" w:styleId="IntenseReference">
    <w:name w:val="Intense Reference"/>
    <w:basedOn w:val="DefaultParagraphFont"/>
    <w:uiPriority w:val="32"/>
    <w:qFormat/>
    <w:rsid w:val="00426332"/>
    <w:rPr>
      <w:b/>
      <w:bCs/>
      <w:smallCaps/>
      <w:color w:val="0F4761" w:themeColor="accent1" w:themeShade="BF"/>
      <w:spacing w:val="5"/>
    </w:rPr>
  </w:style>
  <w:style w:type="paragraph" w:styleId="NormalWeb">
    <w:name w:val="Normal (Web)"/>
    <w:basedOn w:val="Normal"/>
    <w:uiPriority w:val="99"/>
    <w:semiHidden/>
    <w:unhideWhenUsed/>
    <w:rsid w:val="00426332"/>
    <w:pPr>
      <w:spacing w:before="100" w:beforeAutospacing="1" w:after="100" w:afterAutospacing="1"/>
    </w:pPr>
  </w:style>
  <w:style w:type="character" w:styleId="Strong">
    <w:name w:val="Strong"/>
    <w:basedOn w:val="DefaultParagraphFont"/>
    <w:uiPriority w:val="22"/>
    <w:qFormat/>
    <w:rsid w:val="00426332"/>
    <w:rPr>
      <w:b/>
      <w:bCs/>
    </w:rPr>
  </w:style>
  <w:style w:type="character" w:styleId="Emphasis">
    <w:name w:val="Emphasis"/>
    <w:basedOn w:val="DefaultParagraphFont"/>
    <w:uiPriority w:val="20"/>
    <w:qFormat/>
    <w:rsid w:val="00426332"/>
    <w:rPr>
      <w:i/>
      <w:iCs/>
    </w:rPr>
  </w:style>
  <w:style w:type="paragraph" w:styleId="Subtitle">
    <w:name w:val="Subtitle"/>
    <w:basedOn w:val="Normal"/>
    <w:next w:val="Normal"/>
    <w:link w:val="SubtitleChar"/>
    <w:uiPriority w:val="11"/>
    <w:qFormat/>
    <w:rPr>
      <w:color w:val="595959"/>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CJRdLCg59M3hm64hvLub5cXfkQ==">CgMxLjAaEgoBMBINCgsIB0IHEgVDYXJkbxoSCgExEg0KCwgHQgcSBUNhcmRvGhIKATISDQoLCAdCBxIFQ2FyZG8aEgoBMxINCgsIB0IHEgVDYXJkbzgAciExR01mNnZUWjMxMjlLTF94dkJrUEZWT0NjM1prNm9mOGo=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Pages>
  <Words>1503</Words>
  <Characters>8568</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Ming Chen Lo Rohrer</dc:creator>
  <cp:lastModifiedBy>Ming Chen Lo Rohrer</cp:lastModifiedBy>
  <cp:revision>4</cp:revision>
  <cp:lastPrinted>2026-03-15T13:17:00Z</cp:lastPrinted>
  <dcterms:created xsi:type="dcterms:W3CDTF">2026-03-15T02:54:00Z</dcterms:created>
  <dcterms:modified xsi:type="dcterms:W3CDTF">2026-03-15T17:15:00Z</dcterms:modified>
</cp:coreProperties>
</file>