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72B4" w14:textId="6DC3F361" w:rsidR="004A4BC1" w:rsidRPr="009612DB" w:rsidRDefault="004A4BC1" w:rsidP="004A4BC1">
      <w:pPr>
        <w:spacing w:before="100" w:beforeAutospacing="1" w:after="100" w:afterAutospacing="1" w:line="240" w:lineRule="auto"/>
        <w:jc w:val="center"/>
        <w:rPr>
          <w:rFonts w:ascii="Times New Roman" w:eastAsia="Times New Roman" w:hAnsi="Times New Roman" w:cs="Times New Roman" w:hint="eastAsia"/>
          <w:kern w:val="0"/>
          <w:sz w:val="20"/>
          <w:szCs w:val="20"/>
          <w14:ligatures w14:val="none"/>
        </w:rPr>
      </w:pPr>
      <w:r w:rsidRPr="004A4BC1">
        <w:rPr>
          <w:sz w:val="36"/>
          <w:szCs w:val="36"/>
        </w:rPr>
        <w:t>Facing the Unknown</w:t>
      </w:r>
    </w:p>
    <w:p w14:paraId="0E3943D4" w14:textId="117A9447" w:rsidR="004A4BC1" w:rsidRPr="009612DB" w:rsidRDefault="004A4BC1" w:rsidP="004A4BC1">
      <w:pPr>
        <w:spacing w:before="100" w:beforeAutospacing="1" w:after="100" w:afterAutospacing="1" w:line="240" w:lineRule="auto"/>
        <w:contextualSpacing/>
        <w:rPr>
          <w:rFonts w:ascii="Times New Roman" w:eastAsia="Times New Roman" w:hAnsi="Times New Roman" w:cs="Times New Roman" w:hint="eastAsia"/>
          <w:kern w:val="0"/>
          <w:sz w:val="20"/>
          <w:szCs w:val="20"/>
          <w14:ligatures w14:val="none"/>
        </w:rPr>
      </w:pPr>
      <w:r w:rsidRPr="004A4BC1">
        <w:rPr>
          <w:sz w:val="20"/>
          <w:szCs w:val="20"/>
        </w:rPr>
        <w:t>Matthew 24:36–44</w:t>
      </w:r>
      <w:r w:rsidRPr="004A4BC1">
        <w:rPr>
          <w:rFonts w:ascii="PingFang TC" w:eastAsia="PingFang TC" w:hAnsi="PingFang TC" w:cs="PingFang TC"/>
          <w:b/>
          <w:bCs/>
          <w:kern w:val="0"/>
          <w:sz w:val="20"/>
          <w:szCs w:val="20"/>
          <w14:ligatures w14:val="none"/>
        </w:rPr>
        <w:tab/>
      </w:r>
      <w:r w:rsidRPr="004A4BC1">
        <w:rPr>
          <w:rFonts w:ascii="PingFang TC" w:eastAsia="PingFang TC" w:hAnsi="PingFang TC" w:cs="PingFang TC"/>
          <w:b/>
          <w:bCs/>
          <w:kern w:val="0"/>
          <w:sz w:val="20"/>
          <w:szCs w:val="20"/>
          <w14:ligatures w14:val="none"/>
        </w:rPr>
        <w:tab/>
      </w:r>
      <w:r w:rsidRPr="004A4BC1">
        <w:rPr>
          <w:rFonts w:ascii="PingFang TC" w:eastAsia="PingFang TC" w:hAnsi="PingFang TC" w:cs="PingFang TC"/>
          <w:b/>
          <w:bCs/>
          <w:kern w:val="0"/>
          <w:sz w:val="20"/>
          <w:szCs w:val="20"/>
          <w14:ligatures w14:val="none"/>
        </w:rPr>
        <w:tab/>
      </w:r>
      <w:r w:rsidRPr="004A4BC1">
        <w:rPr>
          <w:rFonts w:ascii="PingFang TC" w:eastAsia="PingFang TC" w:hAnsi="PingFang TC" w:cs="PingFang TC"/>
          <w:b/>
          <w:bCs/>
          <w:kern w:val="0"/>
          <w:sz w:val="20"/>
          <w:szCs w:val="20"/>
          <w14:ligatures w14:val="none"/>
        </w:rPr>
        <w:tab/>
      </w:r>
      <w:r w:rsidRPr="004A4BC1">
        <w:rPr>
          <w:rFonts w:ascii="PingFang TC" w:eastAsia="PingFang TC" w:hAnsi="PingFang TC" w:cs="PingFang TC"/>
          <w:b/>
          <w:bCs/>
          <w:kern w:val="0"/>
          <w:sz w:val="20"/>
          <w:szCs w:val="20"/>
          <w14:ligatures w14:val="none"/>
        </w:rPr>
        <w:tab/>
      </w:r>
      <w:r w:rsidRPr="004A4BC1">
        <w:rPr>
          <w:rFonts w:ascii="PingFang TC" w:eastAsia="PingFang TC" w:hAnsi="PingFang TC" w:cs="PingFang TC"/>
          <w:b/>
          <w:bCs/>
          <w:kern w:val="0"/>
          <w:sz w:val="20"/>
          <w:szCs w:val="20"/>
          <w14:ligatures w14:val="none"/>
        </w:rPr>
        <w:tab/>
      </w:r>
      <w:r w:rsidRPr="004A4BC1">
        <w:rPr>
          <w:rFonts w:ascii="PingFang TC" w:eastAsia="PingFang TC" w:hAnsi="PingFang TC" w:cs="PingFang TC"/>
          <w:b/>
          <w:bCs/>
          <w:kern w:val="0"/>
          <w:sz w:val="20"/>
          <w:szCs w:val="20"/>
          <w14:ligatures w14:val="none"/>
        </w:rPr>
        <w:tab/>
      </w:r>
      <w:r w:rsidRPr="004A4BC1">
        <w:rPr>
          <w:rFonts w:ascii="PingFang TC" w:eastAsia="PingFang TC" w:hAnsi="PingFang TC" w:cs="PingFang TC"/>
          <w:b/>
          <w:bCs/>
          <w:kern w:val="0"/>
          <w:sz w:val="20"/>
          <w:szCs w:val="20"/>
          <w14:ligatures w14:val="none"/>
        </w:rPr>
        <w:tab/>
      </w:r>
      <w:r w:rsidRPr="004A4BC1">
        <w:rPr>
          <w:rFonts w:ascii="PingFang TC" w:eastAsia="PingFang TC" w:hAnsi="PingFang TC" w:cs="PingFang TC"/>
          <w:b/>
          <w:bCs/>
          <w:kern w:val="0"/>
          <w:sz w:val="20"/>
          <w:szCs w:val="20"/>
          <w14:ligatures w14:val="none"/>
        </w:rPr>
        <w:tab/>
      </w:r>
      <w:r>
        <w:rPr>
          <w:rFonts w:ascii="PingFang TC" w:eastAsia="PingFang TC" w:hAnsi="PingFang TC" w:cs="PingFang TC" w:hint="eastAsia"/>
          <w:b/>
          <w:bCs/>
          <w:kern w:val="0"/>
          <w:sz w:val="20"/>
          <w:szCs w:val="20"/>
          <w14:ligatures w14:val="none"/>
        </w:rPr>
        <w:t xml:space="preserve">   </w:t>
      </w:r>
      <w:r w:rsidRPr="004A4BC1">
        <w:rPr>
          <w:rFonts w:ascii="PingFang TC" w:eastAsia="PingFang TC" w:hAnsi="PingFang TC" w:cs="PingFang TC" w:hint="eastAsia"/>
          <w:b/>
          <w:bCs/>
          <w:kern w:val="0"/>
          <w:sz w:val="20"/>
          <w:szCs w:val="20"/>
          <w14:ligatures w14:val="none"/>
        </w:rPr>
        <w:t xml:space="preserve">    </w:t>
      </w:r>
      <w:r w:rsidRPr="009612DB">
        <w:rPr>
          <w:rFonts w:ascii="Times New Roman" w:eastAsia="Times New Roman" w:hAnsi="Times New Roman" w:cs="Times New Roman"/>
          <w:b/>
          <w:bCs/>
          <w:kern w:val="0"/>
          <w:sz w:val="20"/>
          <w:szCs w:val="20"/>
          <w14:ligatures w14:val="none"/>
        </w:rPr>
        <w:t>1</w:t>
      </w:r>
      <w:r w:rsidRPr="004A4BC1">
        <w:rPr>
          <w:rFonts w:ascii="Times New Roman" w:eastAsia="Times New Roman" w:hAnsi="Times New Roman" w:cs="Times New Roman" w:hint="eastAsia"/>
          <w:b/>
          <w:bCs/>
          <w:kern w:val="0"/>
          <w:sz w:val="20"/>
          <w:szCs w:val="20"/>
          <w14:ligatures w14:val="none"/>
        </w:rPr>
        <w:t>1</w:t>
      </w:r>
      <w:r w:rsidRPr="009612DB">
        <w:rPr>
          <w:rFonts w:ascii="Times New Roman" w:eastAsia="Times New Roman" w:hAnsi="Times New Roman" w:cs="Times New Roman"/>
          <w:b/>
          <w:bCs/>
          <w:kern w:val="0"/>
          <w:sz w:val="20"/>
          <w:szCs w:val="20"/>
          <w14:ligatures w14:val="none"/>
        </w:rPr>
        <w:t>/</w:t>
      </w:r>
      <w:r w:rsidRPr="004A4BC1">
        <w:rPr>
          <w:rFonts w:ascii="Times New Roman" w:eastAsia="Times New Roman" w:hAnsi="Times New Roman" w:cs="Times New Roman" w:hint="eastAsia"/>
          <w:b/>
          <w:bCs/>
          <w:kern w:val="0"/>
          <w:sz w:val="20"/>
          <w:szCs w:val="20"/>
          <w14:ligatures w14:val="none"/>
        </w:rPr>
        <w:t>30</w:t>
      </w:r>
      <w:r w:rsidRPr="009612DB">
        <w:rPr>
          <w:rFonts w:ascii="Times New Roman" w:eastAsia="Times New Roman" w:hAnsi="Times New Roman" w:cs="Times New Roman"/>
          <w:b/>
          <w:bCs/>
          <w:kern w:val="0"/>
          <w:sz w:val="20"/>
          <w:szCs w:val="20"/>
          <w14:ligatures w14:val="none"/>
        </w:rPr>
        <w:t>/20</w:t>
      </w:r>
      <w:r>
        <w:rPr>
          <w:rFonts w:ascii="Times New Roman" w:eastAsia="Times New Roman" w:hAnsi="Times New Roman" w:cs="Times New Roman" w:hint="eastAsia"/>
          <w:b/>
          <w:bCs/>
          <w:kern w:val="0"/>
          <w:sz w:val="20"/>
          <w:szCs w:val="20"/>
          <w14:ligatures w14:val="none"/>
        </w:rPr>
        <w:t>25</w:t>
      </w:r>
    </w:p>
    <w:p w14:paraId="23B2721D" w14:textId="09782AB1" w:rsidR="004A4BC1" w:rsidRPr="004A4BC1" w:rsidRDefault="004A4BC1" w:rsidP="004A4BC1">
      <w:pPr>
        <w:spacing w:before="100" w:beforeAutospacing="1" w:after="100" w:afterAutospacing="1" w:line="240" w:lineRule="auto"/>
        <w:contextualSpacing/>
        <w:jc w:val="right"/>
        <w:rPr>
          <w:rFonts w:ascii="Times New Roman" w:eastAsia="Times New Roman" w:hAnsi="Times New Roman" w:cs="Times New Roman" w:hint="eastAsia"/>
          <w:b/>
          <w:bCs/>
          <w:kern w:val="0"/>
          <w:sz w:val="20"/>
          <w:szCs w:val="20"/>
          <w14:ligatures w14:val="none"/>
        </w:rPr>
      </w:pPr>
      <w:r w:rsidRPr="004A4BC1">
        <w:rPr>
          <w:rFonts w:ascii="PingFang TC" w:eastAsia="PingFang TC" w:hAnsi="PingFang TC" w:cs="PingFang TC" w:hint="eastAsia"/>
          <w:b/>
          <w:bCs/>
          <w:kern w:val="0"/>
          <w:sz w:val="20"/>
          <w:szCs w:val="20"/>
          <w14:ligatures w14:val="none"/>
        </w:rPr>
        <w:t>Grace Rohrer</w:t>
      </w:r>
    </w:p>
    <w:p w14:paraId="5EDBA7E1" w14:textId="2F1DC244"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Introduction:</w:t>
      </w:r>
      <w:r w:rsidRPr="008C5594">
        <w:rPr>
          <w:rFonts w:ascii="Times New Roman" w:eastAsia="Times New Roman" w:hAnsi="Times New Roman" w:cs="Times New Roman"/>
          <w:b/>
          <w:bCs/>
          <w:kern w:val="0"/>
          <w:sz w:val="23"/>
          <w:szCs w:val="23"/>
          <w14:ligatures w14:val="none"/>
        </w:rPr>
        <w:br/>
        <w:t>The time from Thanksgiving to Christmas is usually one of the busiest seasons of the year, yet it is also one of the most beautiful—if we choose to feel it intentionally, if we slow down. Today is the First Sunday of Advent. This season of waiting for Christ’s birth is not only about anticipating what is to come—it is about seeing the sacred that is already present among us. Let us open our hearts to today’s Scripture and remain watchful for God’s continual presence.</w:t>
      </w:r>
    </w:p>
    <w:p w14:paraId="24997151" w14:textId="56371360"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Prayer for Illumination:</w:t>
      </w:r>
      <w:r w:rsidRPr="008C5594">
        <w:rPr>
          <w:rFonts w:ascii="Times New Roman" w:eastAsia="Times New Roman" w:hAnsi="Times New Roman" w:cs="Times New Roman"/>
          <w:b/>
          <w:bCs/>
          <w:kern w:val="0"/>
          <w:sz w:val="23"/>
          <w:szCs w:val="23"/>
          <w14:ligatures w14:val="none"/>
        </w:rPr>
        <w:br/>
        <w:t>Savior God, guide us through your Word and Spirit so that we may hear your truth, obey your call, and prepare ourselves for Christ’s coming this Christmas. Amen.</w:t>
      </w:r>
    </w:p>
    <w:p w14:paraId="78895372" w14:textId="06D24E4D"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1. Facing the Unknown</w:t>
      </w:r>
      <w:r w:rsidRPr="008C5594">
        <w:rPr>
          <w:rFonts w:ascii="Times New Roman" w:eastAsia="Times New Roman" w:hAnsi="Times New Roman" w:cs="Times New Roman"/>
          <w:b/>
          <w:bCs/>
          <w:kern w:val="0"/>
          <w:sz w:val="23"/>
          <w:szCs w:val="23"/>
          <w14:ligatures w14:val="none"/>
        </w:rPr>
        <w:br/>
        <w:t>There are questions for which I have no answer, you have no answer, and God does not intend to tell us. When you face unanswered questions and uncertainty, how should you respond?</w:t>
      </w:r>
    </w:p>
    <w:p w14:paraId="5FCD8532" w14:textId="5E6180EB"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Within just a few verses, the word “do not know” appears repeatedly: “no one knows,” “not even the Son knows,” “they knew nothing” (v.36), “they did not know” (v.42), “if the master of the house had known…” (v.43), “at a time you do not expect” (v.44).</w:t>
      </w:r>
    </w:p>
    <w:p w14:paraId="265FADE8" w14:textId="38884377"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 xml:space="preserve">The “not knowing” that Matthew highlights today </w:t>
      </w:r>
      <w:proofErr w:type="gramStart"/>
      <w:r w:rsidRPr="008C5594">
        <w:rPr>
          <w:rFonts w:ascii="Times New Roman" w:eastAsia="Times New Roman" w:hAnsi="Times New Roman" w:cs="Times New Roman"/>
          <w:b/>
          <w:bCs/>
          <w:kern w:val="0"/>
          <w:sz w:val="23"/>
          <w:szCs w:val="23"/>
          <w14:ligatures w14:val="none"/>
        </w:rPr>
        <w:t>is</w:t>
      </w:r>
      <w:proofErr w:type="gramEnd"/>
      <w:r w:rsidRPr="008C5594">
        <w:rPr>
          <w:rFonts w:ascii="Times New Roman" w:eastAsia="Times New Roman" w:hAnsi="Times New Roman" w:cs="Times New Roman"/>
          <w:b/>
          <w:bCs/>
          <w:kern w:val="0"/>
          <w:sz w:val="23"/>
          <w:szCs w:val="23"/>
          <w14:ligatures w14:val="none"/>
        </w:rPr>
        <w:t xml:space="preserve"> this: “When?” When will the Son of Man come? When will His glory be fully revealed? When will the world end and be completely redeemed?</w:t>
      </w:r>
    </w:p>
    <w:p w14:paraId="6053F857" w14:textId="7B526157"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These are also the deep questions our hearts long to know: When will wars cease? When will hunger end?</w:t>
      </w:r>
      <w:r w:rsidRPr="008C5594">
        <w:rPr>
          <w:rFonts w:ascii="Times New Roman" w:eastAsia="Times New Roman" w:hAnsi="Times New Roman" w:cs="Times New Roman"/>
          <w:b/>
          <w:bCs/>
          <w:kern w:val="0"/>
          <w:sz w:val="23"/>
          <w:szCs w:val="23"/>
          <w14:ligatures w14:val="none"/>
        </w:rPr>
        <w:br/>
        <w:t>When will my health, my relationships, my work, my life improve? Lord, when?</w:t>
      </w:r>
    </w:p>
    <w:p w14:paraId="785EBAFB" w14:textId="52B5C23A"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In Matthew 24, during the final stage of Jesus’ life, His conflict with the religious leaders intensifies. Jesus rebukes hypocrisy and blind leadership directly and severely (Matthew 23); the atmosphere is extremely tense. When established religious life is challenged, people naturally feel anxious and unsettled. Matthew’s readers likely experienced war, the destruction of the Temple, and lives torn apart, filled with unanswerable questions about the world.</w:t>
      </w:r>
    </w:p>
    <w:p w14:paraId="36E6617E" w14:textId="0593379E"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Jesus is proclaiming an entirely new world—the coming of God’s kingdom. This passage warns of hatred, blasphemy, and suffering that will come swiftly, so quickly that, Jesus says, there will not even be time to take one’s cloak.</w:t>
      </w:r>
    </w:p>
    <w:p w14:paraId="3917E5CA" w14:textId="798B32E0"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When faced with uncontrollable circumstances, people often feel helpless. The psalmist asks God in the same way: “How long, O Lord? Will you forget me forever? How long will you hide your face from me? How long must I wrestle with my thoughts and every day have sorrow in my heart? How long will my enemy triumph over me?” (Psalm 13:1–2)</w:t>
      </w:r>
    </w:p>
    <w:p w14:paraId="304AAD9E" w14:textId="655D67C9"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lastRenderedPageBreak/>
        <w:t>This is an ancient question: “When?” When will chaos end? Jesus answers all these questions with one simple sentence: “No one knows.” God is not telling. (Matthew 24:36)</w:t>
      </w:r>
    </w:p>
    <w:p w14:paraId="006CD09B" w14:textId="425919CC"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Precisely because no one knows, the coming of the Son of Man will be a surprise—just like the great flood in Noah’s time. There were no hurricane warnings, no “evacuate before the rain begins” announcements. Except for Noah’s family, no one knew. Jesus describes how most people continued to work and live as usual—in the field, at the mill—completely unaware of what was coming. Then one would be taken and the other left.</w:t>
      </w:r>
    </w:p>
    <w:p w14:paraId="28AFEAD2" w14:textId="70E40BB9"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No matter how much we plan, arrange, or research, we live in overwhelming uncertainty. Even with our best efforts to control outcomes, variables arise, interruptions occur, and some changes alter our lives forever.</w:t>
      </w:r>
    </w:p>
    <w:p w14:paraId="75D68C0E" w14:textId="39135FAF"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The disciples kept asking for details: When? What will it look like? How can we know? Yet Jesus, in His perplexing way, refuses to answer the questions they think they need answered. He says that the timing of God’s kingdom is something “no one knows.”</w:t>
      </w:r>
    </w:p>
    <w:p w14:paraId="0A09016E" w14:textId="43903125"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2. Preparation and Watchfulness</w:t>
      </w:r>
      <w:r w:rsidRPr="008C5594">
        <w:rPr>
          <w:rFonts w:ascii="Times New Roman" w:eastAsia="Times New Roman" w:hAnsi="Times New Roman" w:cs="Times New Roman"/>
          <w:b/>
          <w:bCs/>
          <w:kern w:val="0"/>
          <w:sz w:val="23"/>
          <w:szCs w:val="23"/>
          <w14:ligatures w14:val="none"/>
        </w:rPr>
        <w:br/>
        <w:t>So, in the face of the unknown and uncertainty, what should we do? Jesus encourages us to “be prepared and stay awake.”</w:t>
      </w:r>
    </w:p>
    <w:p w14:paraId="0F219AA1" w14:textId="3BE57D4B"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Thus, He gives no timeline but instead gives them a task: wait with expectation. Stay awake. Pay attention to the signs. Do not miss what is important.</w:t>
      </w:r>
    </w:p>
    <w:p w14:paraId="0809231A" w14:textId="3D1D2464"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He uses the example of a householder guarding against a thief to illustrate that this watchfulness is deeper than locking doors, lighting lamps, or installing alarms. It means paying attention to unexpected movements, listening for unusual sounds, doubling your vigilance, keeping watch for others—alert as one who stays up through the night, yet not consumed by anxiety.</w:t>
      </w:r>
    </w:p>
    <w:p w14:paraId="0FD998C8" w14:textId="6EF6A17C"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proofErr w:type="gramStart"/>
      <w:r w:rsidRPr="008C5594">
        <w:rPr>
          <w:rFonts w:ascii="Times New Roman" w:eastAsia="Times New Roman" w:hAnsi="Times New Roman" w:cs="Times New Roman"/>
          <w:b/>
          <w:bCs/>
          <w:kern w:val="0"/>
          <w:sz w:val="23"/>
          <w:szCs w:val="23"/>
          <w14:ligatures w14:val="none"/>
        </w:rPr>
        <w:t>So</w:t>
      </w:r>
      <w:proofErr w:type="gramEnd"/>
      <w:r w:rsidRPr="008C5594">
        <w:rPr>
          <w:rFonts w:ascii="Times New Roman" w:eastAsia="Times New Roman" w:hAnsi="Times New Roman" w:cs="Times New Roman"/>
          <w:b/>
          <w:bCs/>
          <w:kern w:val="0"/>
          <w:sz w:val="23"/>
          <w:szCs w:val="23"/>
          <w14:ligatures w14:val="none"/>
        </w:rPr>
        <w:t xml:space="preserve"> what is the passage really teaching? Is it asking us to stay tense all the time? Yet Jesus also says, “Do not worry about what you will eat or drink or wear… your heavenly Father knows what you need.” (Matthew 6:31–33)</w:t>
      </w:r>
    </w:p>
    <w:p w14:paraId="5174F821" w14:textId="75C51A4F"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proofErr w:type="gramStart"/>
      <w:r w:rsidRPr="008C5594">
        <w:rPr>
          <w:rFonts w:ascii="Times New Roman" w:eastAsia="Times New Roman" w:hAnsi="Times New Roman" w:cs="Times New Roman"/>
          <w:b/>
          <w:bCs/>
          <w:kern w:val="0"/>
          <w:sz w:val="23"/>
          <w:szCs w:val="23"/>
          <w14:ligatures w14:val="none"/>
        </w:rPr>
        <w:t>So</w:t>
      </w:r>
      <w:proofErr w:type="gramEnd"/>
      <w:r w:rsidRPr="008C5594">
        <w:rPr>
          <w:rFonts w:ascii="Times New Roman" w:eastAsia="Times New Roman" w:hAnsi="Times New Roman" w:cs="Times New Roman"/>
          <w:b/>
          <w:bCs/>
          <w:kern w:val="0"/>
          <w:sz w:val="23"/>
          <w:szCs w:val="23"/>
          <w14:ligatures w14:val="none"/>
        </w:rPr>
        <w:t xml:space="preserve"> should we adopt an attitude of “just let it be” toward the unknown? Beyond knowing that God will care for us, do we really need to know more? The birds of the air and the lilies of the field do not worry—must we?</w:t>
      </w:r>
    </w:p>
    <w:p w14:paraId="6FA80BAC" w14:textId="03ECC31B"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In Matthew, the call is neither carefree nor indifferent. Jesus warns us not to be deceived, to beware of false teachings and false reports, and not to be distracted. He says chaos will increase and “the love of many will grow cold,” yet He encourages us to endure to the end—with steadfast love. (Matthew 24:4, 12–13)</w:t>
      </w:r>
    </w:p>
    <w:p w14:paraId="282CB412" w14:textId="47CB3E11"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 xml:space="preserve">No matter what happens—wars, fake news, false prophets—we are to live with steadfast love. This is our guide for facing an unknown future. Today’s passage tells us the Son of Man will come when we least expect it, and we must stay awake. Then Jesus gives several parables about waiting: the servant managing the master’s household (Matthew 24:45–51), the bridesmaids at </w:t>
      </w:r>
      <w:r w:rsidRPr="008C5594">
        <w:rPr>
          <w:rFonts w:ascii="Times New Roman" w:eastAsia="Times New Roman" w:hAnsi="Times New Roman" w:cs="Times New Roman"/>
          <w:b/>
          <w:bCs/>
          <w:kern w:val="0"/>
          <w:sz w:val="23"/>
          <w:szCs w:val="23"/>
          <w14:ligatures w14:val="none"/>
        </w:rPr>
        <w:lastRenderedPageBreak/>
        <w:t>the wedding—some with enough oil, some without (Matthew 25:1–13), and the shepherd separating the sheep and the goats (Matthew 25:31–46).</w:t>
      </w:r>
    </w:p>
    <w:p w14:paraId="13984CAB" w14:textId="6500D42F"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In every one of these parables, the characters are simply living their daily lives: managing a household, preparing a wedding, going about ordinary routines. They are neither anxious nor indifferent.</w:t>
      </w:r>
    </w:p>
    <w:p w14:paraId="2F36F093" w14:textId="003D5334"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3. Faithfulness in the Ordinary</w:t>
      </w:r>
      <w:r w:rsidRPr="008C5594">
        <w:rPr>
          <w:rFonts w:ascii="Times New Roman" w:eastAsia="Times New Roman" w:hAnsi="Times New Roman" w:cs="Times New Roman"/>
          <w:b/>
          <w:bCs/>
          <w:kern w:val="0"/>
          <w:sz w:val="23"/>
          <w:szCs w:val="23"/>
          <w14:ligatures w14:val="none"/>
        </w:rPr>
        <w:br/>
        <w:t>Some faithfully do what they should, even with no one watching; some carefully prepare, bringing enough oil as they wait for the bridegroom; some welcome strangers and care for those in need, expecting nothing in return.</w:t>
      </w:r>
    </w:p>
    <w:p w14:paraId="53218439" w14:textId="5F23DF07"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 xml:space="preserve">In the final judgment, the Son of Man </w:t>
      </w:r>
      <w:proofErr w:type="gramStart"/>
      <w:r w:rsidRPr="008C5594">
        <w:rPr>
          <w:rFonts w:ascii="Times New Roman" w:eastAsia="Times New Roman" w:hAnsi="Times New Roman" w:cs="Times New Roman"/>
          <w:b/>
          <w:bCs/>
          <w:kern w:val="0"/>
          <w:sz w:val="23"/>
          <w:szCs w:val="23"/>
          <w14:ligatures w14:val="none"/>
        </w:rPr>
        <w:t>comes</w:t>
      </w:r>
      <w:proofErr w:type="gramEnd"/>
      <w:r w:rsidRPr="008C5594">
        <w:rPr>
          <w:rFonts w:ascii="Times New Roman" w:eastAsia="Times New Roman" w:hAnsi="Times New Roman" w:cs="Times New Roman"/>
          <w:b/>
          <w:bCs/>
          <w:kern w:val="0"/>
          <w:sz w:val="23"/>
          <w:szCs w:val="23"/>
          <w14:ligatures w14:val="none"/>
        </w:rPr>
        <w:t xml:space="preserve"> and all nations are gathered. He commends those who cared for Him when He was hungry, sick, or imprisoned. The righteous are bewildered: “When did we do these things?”</w:t>
      </w:r>
      <w:r w:rsidRPr="008C5594">
        <w:rPr>
          <w:rFonts w:ascii="Times New Roman" w:eastAsia="Times New Roman" w:hAnsi="Times New Roman" w:cs="Times New Roman"/>
          <w:b/>
          <w:bCs/>
          <w:kern w:val="0"/>
          <w:sz w:val="23"/>
          <w:szCs w:val="23"/>
          <w14:ligatures w14:val="none"/>
        </w:rPr>
        <w:br/>
        <w:t>The King replies, “Whatever you did for the least of these brothers of mine, you did for me.” (Matthew 25:31–40)</w:t>
      </w:r>
      <w:r w:rsidRPr="008C5594">
        <w:rPr>
          <w:rFonts w:ascii="Times New Roman" w:eastAsia="Times New Roman" w:hAnsi="Times New Roman" w:cs="Times New Roman"/>
          <w:b/>
          <w:bCs/>
          <w:kern w:val="0"/>
          <w:sz w:val="23"/>
          <w:szCs w:val="23"/>
          <w14:ligatures w14:val="none"/>
        </w:rPr>
        <w:br/>
        <w:t>They had simply lived their days faithfully—not perfectly, but faithfully. And they are invited: “Come, inherit the kingdom prepared for you.” (Matthew 25:34)</w:t>
      </w:r>
    </w:p>
    <w:p w14:paraId="210A876F" w14:textId="08FC0EE2"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 xml:space="preserve">These examples show us that daily faithfulness—ordinary as it may seem—can have profound impact. We also know people like this: someone who cares day after day for a </w:t>
      </w:r>
      <w:r w:rsidR="002D50B5">
        <w:rPr>
          <w:rFonts w:ascii="Times New Roman" w:eastAsia="Times New Roman" w:hAnsi="Times New Roman" w:cs="Times New Roman" w:hint="eastAsia"/>
          <w:b/>
          <w:bCs/>
          <w:kern w:val="0"/>
          <w:sz w:val="23"/>
          <w:szCs w:val="23"/>
          <w14:ligatures w14:val="none"/>
        </w:rPr>
        <w:t xml:space="preserve">sick wife or </w:t>
      </w:r>
      <w:r w:rsidRPr="008C5594">
        <w:rPr>
          <w:rFonts w:ascii="Times New Roman" w:eastAsia="Times New Roman" w:hAnsi="Times New Roman" w:cs="Times New Roman"/>
          <w:b/>
          <w:bCs/>
          <w:kern w:val="0"/>
          <w:sz w:val="23"/>
          <w:szCs w:val="23"/>
          <w14:ligatures w14:val="none"/>
        </w:rPr>
        <w:t xml:space="preserve">husband while still handling the many tasks of daily life; her patience and love inspire others. There are also those who work diligently in hospitals, offices, or stores, doing their tasks well, </w:t>
      </w:r>
      <w:proofErr w:type="gramStart"/>
      <w:r w:rsidRPr="008C5594">
        <w:rPr>
          <w:rFonts w:ascii="Times New Roman" w:eastAsia="Times New Roman" w:hAnsi="Times New Roman" w:cs="Times New Roman"/>
          <w:b/>
          <w:bCs/>
          <w:kern w:val="0"/>
          <w:sz w:val="23"/>
          <w:szCs w:val="23"/>
          <w14:ligatures w14:val="none"/>
        </w:rPr>
        <w:t>again and again</w:t>
      </w:r>
      <w:proofErr w:type="gramEnd"/>
      <w:r w:rsidRPr="008C5594">
        <w:rPr>
          <w:rFonts w:ascii="Times New Roman" w:eastAsia="Times New Roman" w:hAnsi="Times New Roman" w:cs="Times New Roman"/>
          <w:b/>
          <w:bCs/>
          <w:kern w:val="0"/>
          <w:sz w:val="23"/>
          <w:szCs w:val="23"/>
          <w14:ligatures w14:val="none"/>
        </w:rPr>
        <w:t>.</w:t>
      </w:r>
    </w:p>
    <w:p w14:paraId="4414D3F5" w14:textId="1C82B074"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 xml:space="preserve">There is the teacher who patiently accompanies students each day, even </w:t>
      </w:r>
      <w:proofErr w:type="gramStart"/>
      <w:r w:rsidRPr="008C5594">
        <w:rPr>
          <w:rFonts w:ascii="Times New Roman" w:eastAsia="Times New Roman" w:hAnsi="Times New Roman" w:cs="Times New Roman"/>
          <w:b/>
          <w:bCs/>
          <w:kern w:val="0"/>
          <w:sz w:val="23"/>
          <w:szCs w:val="23"/>
          <w14:ligatures w14:val="none"/>
        </w:rPr>
        <w:t>in the midst of</w:t>
      </w:r>
      <w:proofErr w:type="gramEnd"/>
      <w:r w:rsidRPr="008C5594">
        <w:rPr>
          <w:rFonts w:ascii="Times New Roman" w:eastAsia="Times New Roman" w:hAnsi="Times New Roman" w:cs="Times New Roman"/>
          <w:b/>
          <w:bCs/>
          <w:kern w:val="0"/>
          <w:sz w:val="23"/>
          <w:szCs w:val="23"/>
          <w14:ligatures w14:val="none"/>
        </w:rPr>
        <w:t xml:space="preserve"> a demanding schedule, always ready to answer questions. There is the sanitation worker who quietly cleans the streets at dawn, keeping the city clean though unnoticed by most, yet benefiting everyone who passes by. There are community volunteers who regularly visit elderly people living alone, helping them with errands and offering companionship, bringing comfort to the lonely. And there are mail carriers, delivery workers, nurses—people who faithfully hold their posts each day, doing ordinary work with excellence, bringing stability and warmth to society.</w:t>
      </w:r>
    </w:p>
    <w:p w14:paraId="188F8C91" w14:textId="1BF881D9"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These seemingly ordinary routines accumulate into genuine goodness and love, quietly changing those around them and even shaping the world in lasting ways.</w:t>
      </w:r>
    </w:p>
    <w:p w14:paraId="4AF68075" w14:textId="5E2D3DFD"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 xml:space="preserve">4. Notice, Wonder, </w:t>
      </w:r>
      <w:proofErr w:type="gramStart"/>
      <w:r w:rsidRPr="008C5594">
        <w:rPr>
          <w:rFonts w:ascii="Times New Roman" w:eastAsia="Times New Roman" w:hAnsi="Times New Roman" w:cs="Times New Roman"/>
          <w:b/>
          <w:bCs/>
          <w:kern w:val="0"/>
          <w:sz w:val="23"/>
          <w:szCs w:val="23"/>
          <w14:ligatures w14:val="none"/>
        </w:rPr>
        <w:t>Share</w:t>
      </w:r>
      <w:proofErr w:type="gramEnd"/>
      <w:r w:rsidRPr="008C5594">
        <w:rPr>
          <w:rFonts w:ascii="Times New Roman" w:eastAsia="Times New Roman" w:hAnsi="Times New Roman" w:cs="Times New Roman"/>
          <w:b/>
          <w:bCs/>
          <w:kern w:val="0"/>
          <w:sz w:val="23"/>
          <w:szCs w:val="23"/>
          <w14:ligatures w14:val="none"/>
        </w:rPr>
        <w:br/>
        <w:t>We never know which day something extraordinary may happen. A particular day—or a season of life—may seem uneventful, or it may suddenly turn in unexpected ways. Facing the unknown, we live each day under Jesus’ call—not anxious, not indifferent, but faithful, steady, and acting in love.</w:t>
      </w:r>
    </w:p>
    <w:p w14:paraId="52CDB834" w14:textId="632DEFFC"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Not everything is unknown. Today’s passage emphasizes that we know one thing for certain—the Son of Man will return. We may not know when He will come or how final redemption will unfold, but we are sure of this: the future belongs to God, entirely to Him.</w:t>
      </w:r>
    </w:p>
    <w:p w14:paraId="100BBCD7" w14:textId="420ABF1F"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lastRenderedPageBreak/>
        <w:t>For those living in uncertainty—whether in the psalmist’s time, Jesus’ time, Matthew’s time, or our own—this is comfort and hope. God is not finished yet; He is still at work—in our individual lives, in the church, in society, in the world. More is yet to come, and because it comes from God, we know the ending will be good.</w:t>
      </w:r>
    </w:p>
    <w:p w14:paraId="2F94FB8E" w14:textId="5134EE16"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This is our hope in the Lord, the promise of the Son of Man. In the face of anxiety, we can still live with joy in the unknown. God’s presence is certain, and the coming of redemption casts out fear. We do not need to worry about tomorrow; we need only seek His kingdom and His righteousness. (Matthew 6:33–34)</w:t>
      </w:r>
    </w:p>
    <w:p w14:paraId="25FBF3E9" w14:textId="3E17C8B0"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The Lord’s teaching reminds us to serve Christ in our daily lives, offering ourselves to God. Do not be indifferent; do not be unfeeling—for caring for others is caring for Jesus Himself. We are called to live a holy life.</w:t>
      </w:r>
    </w:p>
    <w:p w14:paraId="302A2681" w14:textId="5353D408"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 xml:space="preserve">The Presbyterian </w:t>
      </w:r>
      <w:r w:rsidRPr="008C5594">
        <w:rPr>
          <w:rFonts w:ascii="Times New Roman" w:eastAsia="Times New Roman" w:hAnsi="Times New Roman" w:cs="Times New Roman"/>
          <w:b/>
          <w:bCs/>
          <w:i/>
          <w:iCs/>
          <w:kern w:val="0"/>
          <w:sz w:val="23"/>
          <w:szCs w:val="23"/>
          <w14:ligatures w14:val="none"/>
        </w:rPr>
        <w:t>Brief Statement of Faith</w:t>
      </w:r>
      <w:r w:rsidRPr="008C5594">
        <w:rPr>
          <w:rFonts w:ascii="Times New Roman" w:eastAsia="Times New Roman" w:hAnsi="Times New Roman" w:cs="Times New Roman"/>
          <w:b/>
          <w:bCs/>
          <w:kern w:val="0"/>
          <w:sz w:val="23"/>
          <w:szCs w:val="23"/>
          <w14:ligatures w14:val="none"/>
        </w:rPr>
        <w:t xml:space="preserve"> says:</w:t>
      </w:r>
      <w:r w:rsidRPr="008C5594">
        <w:rPr>
          <w:rFonts w:ascii="Times New Roman" w:eastAsia="Times New Roman" w:hAnsi="Times New Roman" w:cs="Times New Roman"/>
          <w:b/>
          <w:bCs/>
          <w:kern w:val="0"/>
          <w:sz w:val="23"/>
          <w:szCs w:val="23"/>
          <w14:ligatures w14:val="none"/>
        </w:rPr>
        <w:br/>
        <w:t>We thank God that the Holy Spirit gives us strength to serve Christ in our daily lives, to live holy and joyful lives even as we await God’s new heaven and new earth, praying: Come, Lord Jesus.</w:t>
      </w:r>
    </w:p>
    <w:p w14:paraId="03B02FA3" w14:textId="02CB70C4"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Pay attention—notice the fig tree losing its leaves, notice the bitter and sweet woven through your daily life. Be amazed that God still chooses to appear in the ordinary. Tell others what you see—share it with your family, with the busy cashier, with your hurried friend.</w:t>
      </w:r>
    </w:p>
    <w:p w14:paraId="05B64498" w14:textId="2E2140E2"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5. The Call of Advent</w:t>
      </w:r>
      <w:r w:rsidRPr="008C5594">
        <w:rPr>
          <w:rFonts w:ascii="Times New Roman" w:eastAsia="Times New Roman" w:hAnsi="Times New Roman" w:cs="Times New Roman"/>
          <w:b/>
          <w:bCs/>
          <w:kern w:val="0"/>
          <w:sz w:val="23"/>
          <w:szCs w:val="23"/>
          <w14:ligatures w14:val="none"/>
        </w:rPr>
        <w:br/>
        <w:t xml:space="preserve">In conclusion: in facing each day of the unknown, living faithfully—even when it seems ordinary—can have profound impact. Whether patiently caring for family, attentively guiding students, or quietly staying committed to one’s work, such acts of goodness are like small lights that gently illuminate the world. They remind us that faith is not primarily about dramatic miracles, but about daily, sustained faithfulness and acts of love. Even </w:t>
      </w:r>
      <w:proofErr w:type="gramStart"/>
      <w:r w:rsidRPr="008C5594">
        <w:rPr>
          <w:rFonts w:ascii="Times New Roman" w:eastAsia="Times New Roman" w:hAnsi="Times New Roman" w:cs="Times New Roman"/>
          <w:b/>
          <w:bCs/>
          <w:kern w:val="0"/>
          <w:sz w:val="23"/>
          <w:szCs w:val="23"/>
          <w14:ligatures w14:val="none"/>
        </w:rPr>
        <w:t>in the midst of</w:t>
      </w:r>
      <w:proofErr w:type="gramEnd"/>
      <w:r w:rsidRPr="008C5594">
        <w:rPr>
          <w:rFonts w:ascii="Times New Roman" w:eastAsia="Times New Roman" w:hAnsi="Times New Roman" w:cs="Times New Roman"/>
          <w:b/>
          <w:bCs/>
          <w:kern w:val="0"/>
          <w:sz w:val="23"/>
          <w:szCs w:val="23"/>
          <w14:ligatures w14:val="none"/>
        </w:rPr>
        <w:t xml:space="preserve"> uncertainty, anxiety, and the unknown, we can live with joy and hope in the ordinary.</w:t>
      </w:r>
    </w:p>
    <w:p w14:paraId="03E36F6D" w14:textId="6CC32056" w:rsidR="008C5594" w:rsidRPr="008C5594"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In this Advent season, this faithfulness in the ordinary invites us to prepare our hearts for Christ’s coming. Advent is not only waiting for the future but seeing the sacred in the present: in fallen leaves, in red holly, in the sweet and bitter woven into daily life. All of these are signs of God revealed in the ordinary. We are called to pay attention, to be amazed, and to share this love and hope with others. As we live this way, each faithful daily act becomes part of welcoming Christ and shining the light of God’s kingdom.</w:t>
      </w:r>
    </w:p>
    <w:p w14:paraId="38732F55" w14:textId="39A9B45F" w:rsidR="00BE3A4B" w:rsidRPr="004A4BC1" w:rsidRDefault="008C5594" w:rsidP="008C559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8C5594">
        <w:rPr>
          <w:rFonts w:ascii="Times New Roman" w:eastAsia="Times New Roman" w:hAnsi="Times New Roman" w:cs="Times New Roman"/>
          <w:b/>
          <w:bCs/>
          <w:kern w:val="0"/>
          <w:sz w:val="23"/>
          <w:szCs w:val="23"/>
          <w14:ligatures w14:val="none"/>
        </w:rPr>
        <w:t>Prayer: Lord Jesus, thank You for revealing Yourself in the ordinary rhythms of life. Help us to be faithful and watchful, to accompany those around us with love, and to live with joy and hope as we wait for Your return. May our eyes recognize Your presence, and may our hearts always be prepared for You. Amen.</w:t>
      </w:r>
    </w:p>
    <w:sectPr w:rsidR="00BE3A4B" w:rsidRPr="004A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ingFang TC">
    <w:panose1 w:val="020B0400000000000000"/>
    <w:charset w:val="88"/>
    <w:family w:val="swiss"/>
    <w:pitch w:val="variable"/>
    <w:sig w:usb0="A00002FF" w:usb1="7ACFFDFB" w:usb2="00000017"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94"/>
    <w:rsid w:val="000748B6"/>
    <w:rsid w:val="00165945"/>
    <w:rsid w:val="002D207C"/>
    <w:rsid w:val="002D50B5"/>
    <w:rsid w:val="004A4BC1"/>
    <w:rsid w:val="008C5594"/>
    <w:rsid w:val="00905CA5"/>
    <w:rsid w:val="00BE3A4B"/>
    <w:rsid w:val="00D66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33D3"/>
  <w15:chartTrackingRefBased/>
  <w15:docId w15:val="{FBD72764-07B7-1945-BA17-4A9F6D41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594"/>
    <w:rPr>
      <w:rFonts w:eastAsiaTheme="majorEastAsia" w:cstheme="majorBidi"/>
      <w:color w:val="272727" w:themeColor="text1" w:themeTint="D8"/>
    </w:rPr>
  </w:style>
  <w:style w:type="paragraph" w:styleId="Title">
    <w:name w:val="Title"/>
    <w:basedOn w:val="Normal"/>
    <w:next w:val="Normal"/>
    <w:link w:val="TitleChar"/>
    <w:uiPriority w:val="10"/>
    <w:qFormat/>
    <w:rsid w:val="008C5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594"/>
    <w:pPr>
      <w:spacing w:before="160"/>
      <w:jc w:val="center"/>
    </w:pPr>
    <w:rPr>
      <w:i/>
      <w:iCs/>
      <w:color w:val="404040" w:themeColor="text1" w:themeTint="BF"/>
    </w:rPr>
  </w:style>
  <w:style w:type="character" w:customStyle="1" w:styleId="QuoteChar">
    <w:name w:val="Quote Char"/>
    <w:basedOn w:val="DefaultParagraphFont"/>
    <w:link w:val="Quote"/>
    <w:uiPriority w:val="29"/>
    <w:rsid w:val="008C5594"/>
    <w:rPr>
      <w:i/>
      <w:iCs/>
      <w:color w:val="404040" w:themeColor="text1" w:themeTint="BF"/>
    </w:rPr>
  </w:style>
  <w:style w:type="paragraph" w:styleId="ListParagraph">
    <w:name w:val="List Paragraph"/>
    <w:basedOn w:val="Normal"/>
    <w:uiPriority w:val="34"/>
    <w:qFormat/>
    <w:rsid w:val="008C5594"/>
    <w:pPr>
      <w:ind w:left="720"/>
      <w:contextualSpacing/>
    </w:pPr>
  </w:style>
  <w:style w:type="character" w:styleId="IntenseEmphasis">
    <w:name w:val="Intense Emphasis"/>
    <w:basedOn w:val="DefaultParagraphFont"/>
    <w:uiPriority w:val="21"/>
    <w:qFormat/>
    <w:rsid w:val="008C5594"/>
    <w:rPr>
      <w:i/>
      <w:iCs/>
      <w:color w:val="0F4761" w:themeColor="accent1" w:themeShade="BF"/>
    </w:rPr>
  </w:style>
  <w:style w:type="paragraph" w:styleId="IntenseQuote">
    <w:name w:val="Intense Quote"/>
    <w:basedOn w:val="Normal"/>
    <w:next w:val="Normal"/>
    <w:link w:val="IntenseQuoteChar"/>
    <w:uiPriority w:val="30"/>
    <w:qFormat/>
    <w:rsid w:val="008C5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594"/>
    <w:rPr>
      <w:i/>
      <w:iCs/>
      <w:color w:val="0F4761" w:themeColor="accent1" w:themeShade="BF"/>
    </w:rPr>
  </w:style>
  <w:style w:type="character" w:styleId="IntenseReference">
    <w:name w:val="Intense Reference"/>
    <w:basedOn w:val="DefaultParagraphFont"/>
    <w:uiPriority w:val="32"/>
    <w:qFormat/>
    <w:rsid w:val="008C5594"/>
    <w:rPr>
      <w:b/>
      <w:bCs/>
      <w:smallCaps/>
      <w:color w:val="0F4761" w:themeColor="accent1" w:themeShade="BF"/>
      <w:spacing w:val="5"/>
    </w:rPr>
  </w:style>
  <w:style w:type="paragraph" w:styleId="NormalWeb">
    <w:name w:val="Normal (Web)"/>
    <w:basedOn w:val="Normal"/>
    <w:uiPriority w:val="99"/>
    <w:semiHidden/>
    <w:unhideWhenUsed/>
    <w:rsid w:val="008C55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5594"/>
    <w:rPr>
      <w:b/>
      <w:bCs/>
    </w:rPr>
  </w:style>
  <w:style w:type="character" w:styleId="Emphasis">
    <w:name w:val="Emphasis"/>
    <w:basedOn w:val="DefaultParagraphFont"/>
    <w:uiPriority w:val="20"/>
    <w:qFormat/>
    <w:rsid w:val="008C5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Chen Lo Rohrer</dc:creator>
  <cp:keywords/>
  <dc:description/>
  <cp:lastModifiedBy>Ming Chen Lo Rohrer</cp:lastModifiedBy>
  <cp:revision>2</cp:revision>
  <dcterms:created xsi:type="dcterms:W3CDTF">2025-11-30T12:49:00Z</dcterms:created>
  <dcterms:modified xsi:type="dcterms:W3CDTF">2025-11-30T12:49:00Z</dcterms:modified>
</cp:coreProperties>
</file>